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r w:rsidRPr="002C6D22">
        <w:rPr>
          <w:color w:val="00BCE4"/>
          <w:sz w:val="44"/>
        </w:rPr>
        <w:t>Health P</w:t>
      </w:r>
      <w:bookmarkStart w:id="0" w:name="_GoBack"/>
      <w:bookmarkEnd w:id="0"/>
      <w:r w:rsidRPr="002C6D22">
        <w:rPr>
          <w:color w:val="00BCE4"/>
          <w:sz w:val="44"/>
        </w:rPr>
        <w:t>rofession Agreement</w:t>
      </w:r>
    </w:p>
    <w:p w:rsidR="00C76025" w:rsidRPr="002C6D22" w:rsidRDefault="00016854" w:rsidP="00C250F4">
      <w:pPr>
        <w:pStyle w:val="AHPRADocumentsubheading"/>
        <w:spacing w:after="640"/>
        <w:jc w:val="center"/>
        <w:rPr>
          <w:sz w:val="44"/>
        </w:rPr>
      </w:pPr>
      <w:r>
        <w:rPr>
          <w:sz w:val="44"/>
        </w:rPr>
        <w:t>Occupational Therapy</w:t>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proofErr w:type="gramStart"/>
      <w:r w:rsidRPr="002C6D22">
        <w:rPr>
          <w:sz w:val="44"/>
        </w:rPr>
        <w:t>and</w:t>
      </w:r>
      <w:proofErr w:type="gramEnd"/>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2955CE" w:rsidP="00C250F4">
      <w:pPr>
        <w:pStyle w:val="AHPRADocumentsubheading"/>
        <w:spacing w:after="640"/>
        <w:jc w:val="center"/>
        <w:rPr>
          <w:sz w:val="44"/>
        </w:rPr>
      </w:pPr>
      <w:r w:rsidRPr="002C6D22">
        <w:rPr>
          <w:sz w:val="44"/>
        </w:rPr>
        <w:t>2015/</w:t>
      </w:r>
      <w:r w:rsidR="00C76025" w:rsidRPr="002C6D22">
        <w:rPr>
          <w:sz w:val="44"/>
        </w:rPr>
        <w:t>16</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w:t>
      </w:r>
      <w:r w:rsidR="00172CCE">
        <w:rPr>
          <w:sz w:val="20"/>
          <w:szCs w:val="20"/>
        </w:rPr>
        <w:lastRenderedPageBreak/>
        <w:t xml:space="preserve">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lastRenderedPageBreak/>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Agreement is for the period 1 July 2015 to 30 June 2016.</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w:t>
      </w:r>
      <w:r w:rsidRPr="00172CCE">
        <w:rPr>
          <w:rFonts w:cs="Arial"/>
          <w:color w:val="000000"/>
          <w:sz w:val="20"/>
          <w:szCs w:val="20"/>
        </w:rPr>
        <w:lastRenderedPageBreak/>
        <w:t xml:space="preserve">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7C7B7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lastRenderedPageBreak/>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7C7B7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lastRenderedPageBreak/>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headerReference w:type="even" r:id="rId8"/>
          <w:footerReference w:type="default" r:id="rId9"/>
          <w:headerReference w:type="first" r:id="rId10"/>
          <w:footerReference w:type="first" r:id="rId11"/>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regulatory work plan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627F08" w:rsidP="00DD4B2F">
            <w:pPr>
              <w:pStyle w:val="Default"/>
              <w:spacing w:after="200"/>
              <w:rPr>
                <w:sz w:val="20"/>
                <w:szCs w:val="20"/>
              </w:rPr>
            </w:pPr>
            <w:r w:rsidRPr="00627F08">
              <w:rPr>
                <w:sz w:val="20"/>
                <w:szCs w:val="20"/>
              </w:rPr>
              <w:t>Strategic performance and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E842D6" w:rsidP="00E842D6">
      <w:pPr>
        <w:tabs>
          <w:tab w:val="left" w:pos="5678"/>
        </w:tabs>
        <w:spacing w:after="400"/>
        <w:jc w:val="center"/>
        <w:rPr>
          <w:b/>
          <w:sz w:val="20"/>
        </w:rPr>
      </w:pPr>
      <w:r w:rsidRPr="00E842D6">
        <w:rPr>
          <w:b/>
          <w:sz w:val="20"/>
        </w:rPr>
        <w:t xml:space="preserve">The </w:t>
      </w:r>
      <w:r w:rsidR="00016854">
        <w:rPr>
          <w:b/>
          <w:sz w:val="20"/>
        </w:rPr>
        <w:t>Occupational Therapy</w:t>
      </w:r>
      <w:r w:rsidR="00607E8C">
        <w:rPr>
          <w:b/>
          <w:sz w:val="20"/>
        </w:rPr>
        <w:t xml:space="preserve"> </w:t>
      </w:r>
      <w:r w:rsidRPr="00E842D6">
        <w:rPr>
          <w:b/>
          <w:sz w:val="20"/>
        </w:rPr>
        <w:t>Board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E842D6" w:rsidP="000F5D90">
            <w:pPr>
              <w:tabs>
                <w:tab w:val="left" w:pos="5678"/>
              </w:tabs>
              <w:rPr>
                <w:sz w:val="20"/>
              </w:rPr>
            </w:pPr>
            <w:r>
              <w:rPr>
                <w:sz w:val="20"/>
              </w:rPr>
              <w:t>Signed for and on behalf of AHPRA by:</w:t>
            </w:r>
          </w:p>
        </w:tc>
        <w:tc>
          <w:tcPr>
            <w:tcW w:w="4618" w:type="dxa"/>
            <w:tcBorders>
              <w:bottom w:val="nil"/>
            </w:tcBorders>
          </w:tcPr>
          <w:p w:rsidR="00E842D6" w:rsidRDefault="00E842D6" w:rsidP="00607E8C">
            <w:pPr>
              <w:tabs>
                <w:tab w:val="left" w:pos="5678"/>
              </w:tabs>
              <w:rPr>
                <w:sz w:val="20"/>
              </w:rPr>
            </w:pPr>
            <w:r>
              <w:rPr>
                <w:sz w:val="20"/>
              </w:rPr>
              <w:t>Signed for an</w:t>
            </w:r>
            <w:r w:rsidR="004A2393">
              <w:rPr>
                <w:sz w:val="20"/>
              </w:rPr>
              <w:t xml:space="preserve">d on behalf of the </w:t>
            </w:r>
            <w:r w:rsidR="00016854">
              <w:rPr>
                <w:sz w:val="20"/>
              </w:rPr>
              <w:t>Occupational Therapy</w:t>
            </w:r>
            <w:r w:rsidR="004A2393">
              <w:rPr>
                <w:sz w:val="20"/>
              </w:rPr>
              <w:t xml:space="preserve"> 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607E8C">
            <w:pPr>
              <w:tabs>
                <w:tab w:val="left" w:pos="5678"/>
              </w:tabs>
              <w:rPr>
                <w:sz w:val="20"/>
              </w:rPr>
            </w:pPr>
            <w:r>
              <w:rPr>
                <w:sz w:val="20"/>
              </w:rPr>
              <w:t xml:space="preserve">Signature of the </w:t>
            </w:r>
            <w:r w:rsidR="00607E8C">
              <w:rPr>
                <w:sz w:val="20"/>
              </w:rPr>
              <w:t>Presiding Member</w:t>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Default="00016854" w:rsidP="000F5D90">
            <w:pPr>
              <w:tabs>
                <w:tab w:val="left" w:pos="5678"/>
              </w:tabs>
              <w:rPr>
                <w:sz w:val="20"/>
              </w:rPr>
            </w:pPr>
            <w:r>
              <w:rPr>
                <w:sz w:val="20"/>
              </w:rPr>
              <w:t xml:space="preserve">Ms Julie </w:t>
            </w:r>
            <w:proofErr w:type="spellStart"/>
            <w:r>
              <w:rPr>
                <w:sz w:val="20"/>
              </w:rPr>
              <w:t>Brayshaw</w:t>
            </w:r>
            <w:proofErr w:type="spellEnd"/>
          </w:p>
        </w:tc>
      </w:tr>
      <w:tr w:rsidR="00E842D6" w:rsidTr="004A2393">
        <w:tc>
          <w:tcPr>
            <w:tcW w:w="4618" w:type="dxa"/>
            <w:tcBorders>
              <w:top w:val="nil"/>
            </w:tcBorders>
          </w:tcPr>
          <w:p w:rsidR="00E842D6" w:rsidRDefault="004A2393" w:rsidP="000F5D90">
            <w:pPr>
              <w:tabs>
                <w:tab w:val="left" w:pos="5678"/>
              </w:tabs>
              <w:rPr>
                <w:sz w:val="20"/>
              </w:rPr>
            </w:pPr>
            <w:r>
              <w:rPr>
                <w:sz w:val="20"/>
              </w:rPr>
              <w:t>Date</w:t>
            </w:r>
          </w:p>
        </w:tc>
        <w:tc>
          <w:tcPr>
            <w:tcW w:w="4618" w:type="dxa"/>
            <w:tcBorders>
              <w:top w:val="nil"/>
            </w:tcBorders>
          </w:tcPr>
          <w:p w:rsidR="00E842D6" w:rsidRDefault="004A2393" w:rsidP="000F5D90">
            <w:pPr>
              <w:tabs>
                <w:tab w:val="left" w:pos="5678"/>
              </w:tabs>
              <w:rPr>
                <w:sz w:val="20"/>
              </w:rPr>
            </w:pPr>
            <w:r>
              <w:rPr>
                <w:sz w:val="20"/>
              </w:rPr>
              <w:t>Date</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016854">
        <w:tc>
          <w:tcPr>
            <w:tcW w:w="3750" w:type="pct"/>
            <w:shd w:val="clear" w:color="auto" w:fill="4F81BD" w:themeFill="accent1"/>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vAlign w:val="center"/>
          </w:tcPr>
          <w:p w:rsidR="00B63D2D" w:rsidRPr="005961C7" w:rsidRDefault="00B63D2D" w:rsidP="00293CCC">
            <w:pPr>
              <w:spacing w:before="120" w:after="120"/>
              <w:rPr>
                <w:rFonts w:cs="Arial"/>
                <w:i/>
                <w:sz w:val="20"/>
                <w:szCs w:val="20"/>
              </w:rPr>
            </w:pPr>
            <w:r w:rsidRPr="005961C7">
              <w:rPr>
                <w:i/>
                <w:sz w:val="20"/>
                <w:szCs w:val="20"/>
              </w:rPr>
              <w:t>Profession-specific services, as listed in the National Board’s regulatory work plan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293CCC">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vAlign w:val="center"/>
          </w:tcPr>
          <w:p w:rsidR="00693679" w:rsidRPr="003D1528" w:rsidRDefault="00693679"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2955CE" w:rsidRDefault="00693679" w:rsidP="00FA230B">
            <w:pPr>
              <w:spacing w:before="120" w:after="120"/>
              <w:ind w:left="720" w:hanging="720"/>
              <w:rPr>
                <w:rFonts w:cs="Arial"/>
                <w:color w:val="4D4D4F"/>
                <w:sz w:val="20"/>
                <w:szCs w:val="20"/>
              </w:rPr>
            </w:pPr>
            <w:r w:rsidRPr="002955CE">
              <w:rPr>
                <w:rFonts w:cs="Arial"/>
                <w:sz w:val="20"/>
                <w:szCs w:val="20"/>
              </w:rPr>
              <w:t xml:space="preserve">1.2.3 </w:t>
            </w:r>
            <w:r w:rsidR="002955CE">
              <w:rPr>
                <w:rFonts w:cs="Arial"/>
                <w:sz w:val="20"/>
                <w:szCs w:val="20"/>
              </w:rPr>
              <w:tab/>
            </w:r>
            <w:r w:rsidR="0037245D" w:rsidRPr="002955CE">
              <w:rPr>
                <w:rFonts w:cs="Arial"/>
                <w:color w:val="4D4D4F"/>
                <w:sz w:val="20"/>
                <w:szCs w:val="20"/>
              </w:rPr>
              <w:t>Establish and maintain relationships</w:t>
            </w:r>
            <w:r w:rsidRPr="002955CE">
              <w:rPr>
                <w:rFonts w:cs="Arial"/>
                <w:color w:val="4D4D4F"/>
                <w:sz w:val="20"/>
                <w:szCs w:val="20"/>
              </w:rPr>
              <w:t xml:space="preserve"> with </w:t>
            </w:r>
            <w:r w:rsidR="0037245D" w:rsidRPr="002955CE">
              <w:rPr>
                <w:rFonts w:cs="Arial"/>
                <w:color w:val="4D4D4F"/>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3D152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1.4  </w:t>
            </w:r>
            <w:r w:rsidR="002955CE">
              <w:rPr>
                <w:szCs w:val="20"/>
              </w:rPr>
              <w:tab/>
            </w:r>
            <w:r w:rsidRPr="003D1528">
              <w:rPr>
                <w:szCs w:val="20"/>
              </w:rPr>
              <w:t>Legal Services</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ind w:left="357"/>
        <w:rPr>
          <w:rFonts w:cs="Arial"/>
          <w:b/>
          <w:sz w:val="20"/>
          <w:szCs w:val="20"/>
        </w:rPr>
      </w:pPr>
    </w:p>
    <w:p w:rsidR="002E3A43" w:rsidRDefault="00293CCC">
      <w:pPr>
        <w:pStyle w:val="AHPRASubheading"/>
        <w:numPr>
          <w:ilvl w:val="0"/>
          <w:numId w:val="20"/>
        </w:numPr>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pStyle w:val="ListParagraph"/>
        <w:ind w:left="357"/>
        <w:contextualSpacing w:val="0"/>
        <w:rPr>
          <w:b/>
          <w:sz w:val="20"/>
          <w:szCs w:val="20"/>
        </w:rPr>
      </w:pPr>
    </w:p>
    <w:p w:rsidR="002E3A43" w:rsidRDefault="00293CCC">
      <w:pPr>
        <w:pStyle w:val="AHPRASubheading"/>
        <w:numPr>
          <w:ilvl w:val="0"/>
          <w:numId w:val="20"/>
        </w:numPr>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293CCC">
      <w:pPr>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016854">
        <w:tc>
          <w:tcPr>
            <w:tcW w:w="3781"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rPr>
      </w:pPr>
    </w:p>
    <w:p w:rsidR="002E3A43" w:rsidRDefault="00293CCC">
      <w:pPr>
        <w:pStyle w:val="AHPRASubheading"/>
        <w:numPr>
          <w:ilvl w:val="0"/>
          <w:numId w:val="20"/>
        </w:numPr>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Develop and implement National Board Regulatory Work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4.2 </w:t>
            </w:r>
            <w:r w:rsidR="002955CE">
              <w:rPr>
                <w:szCs w:val="20"/>
              </w:rPr>
              <w:tab/>
            </w:r>
            <w:r w:rsidRPr="003D1528">
              <w:rPr>
                <w:szCs w:val="20"/>
              </w:rPr>
              <w:t>Reporting</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293CCC">
      <w:pPr>
        <w:ind w:left="357"/>
        <w:rPr>
          <w:rFonts w:cs="Arial"/>
          <w:b/>
          <w:sz w:val="20"/>
          <w:szCs w:val="20"/>
        </w:rPr>
      </w:pPr>
    </w:p>
    <w:p w:rsidR="002E3A43" w:rsidRDefault="00293CCC">
      <w:pPr>
        <w:pStyle w:val="AHPRASubheading"/>
        <w:numPr>
          <w:ilvl w:val="0"/>
          <w:numId w:val="20"/>
        </w:numPr>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sz w:val="20"/>
          <w:szCs w:val="20"/>
        </w:rPr>
      </w:pPr>
    </w:p>
    <w:p w:rsidR="002E3A43" w:rsidRDefault="00293CCC">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Assist National Boards to define and articulate regulatory evidence requirements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016854">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lastRenderedPageBreak/>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016854">
        <w:lastRenderedPageBreak/>
        <w:t xml:space="preserve">Schedule 2: </w:t>
      </w:r>
      <w:r w:rsidR="00020093" w:rsidRPr="00016854">
        <w:t xml:space="preserve">Summary of </w:t>
      </w:r>
      <w:r w:rsidR="00EF3024" w:rsidRPr="00016854">
        <w:t>National Board’s regulatory work plan</w:t>
      </w:r>
    </w:p>
    <w:p w:rsidR="007F3A76" w:rsidRPr="00E57572" w:rsidRDefault="00016854" w:rsidP="00F73F34">
      <w:pPr>
        <w:pStyle w:val="AHPRADocumentsubheading"/>
      </w:pPr>
      <w:r>
        <w:t>Occupational Therapy</w:t>
      </w:r>
      <w:r w:rsidR="007F3A76" w:rsidRPr="00E57572">
        <w:t xml:space="preserve"> Board of Australia work plan </w:t>
      </w:r>
      <w:r>
        <w:t>2015/16</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14"/>
      </w:tblGrid>
      <w:tr w:rsidR="00840290" w:rsidRPr="00840290" w:rsidTr="00840290">
        <w:trPr>
          <w:tblHeader/>
        </w:trPr>
        <w:tc>
          <w:tcPr>
            <w:tcW w:w="4380" w:type="dxa"/>
            <w:shd w:val="clear" w:color="000000" w:fill="D0D1D2"/>
            <w:hideMark/>
          </w:tcPr>
          <w:p w:rsidR="00840290" w:rsidRPr="00840290" w:rsidRDefault="00840290" w:rsidP="00840290">
            <w:pPr>
              <w:spacing w:before="120" w:after="120"/>
              <w:jc w:val="center"/>
              <w:rPr>
                <w:rFonts w:eastAsia="Times New Roman" w:cs="Arial"/>
                <w:b/>
                <w:bCs/>
                <w:color w:val="007DC3"/>
                <w:sz w:val="20"/>
                <w:szCs w:val="20"/>
                <w:lang w:eastAsia="en-AU"/>
              </w:rPr>
            </w:pPr>
            <w:r w:rsidRPr="00840290">
              <w:rPr>
                <w:rFonts w:eastAsia="Times New Roman" w:cs="Arial"/>
                <w:b/>
                <w:bCs/>
                <w:color w:val="007DC3"/>
                <w:sz w:val="20"/>
                <w:szCs w:val="20"/>
                <w:lang w:eastAsia="en-AU"/>
              </w:rPr>
              <w:t>Overall strategy</w:t>
            </w:r>
          </w:p>
        </w:tc>
        <w:tc>
          <w:tcPr>
            <w:tcW w:w="4380" w:type="dxa"/>
            <w:shd w:val="clear" w:color="000000" w:fill="D0D1D2"/>
            <w:hideMark/>
          </w:tcPr>
          <w:p w:rsidR="00840290" w:rsidRPr="00840290" w:rsidRDefault="00840290" w:rsidP="00840290">
            <w:pPr>
              <w:spacing w:before="120" w:after="120"/>
              <w:jc w:val="center"/>
              <w:rPr>
                <w:rFonts w:eastAsia="Times New Roman" w:cs="Arial"/>
                <w:b/>
                <w:bCs/>
                <w:color w:val="007DC3"/>
                <w:sz w:val="20"/>
                <w:szCs w:val="20"/>
                <w:lang w:eastAsia="en-AU"/>
              </w:rPr>
            </w:pPr>
            <w:r w:rsidRPr="00840290">
              <w:rPr>
                <w:rFonts w:eastAsia="Times New Roman" w:cs="Arial"/>
                <w:b/>
                <w:bCs/>
                <w:color w:val="007DC3"/>
                <w:sz w:val="20"/>
                <w:szCs w:val="20"/>
                <w:lang w:eastAsia="en-AU"/>
              </w:rPr>
              <w:t>Elements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use data to guide Board activities across domains.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use data and other analytical approaches to identify areas of risk and inconsistency that need to be addressed</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analyse graduate numbers, attrition rates and graduate registrations as a marker of workforce development</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ensure fees and budgets are sufficient to manage risks and possibilities.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monitor the income and expenditure of the Board to ensure there is sufficient income to manage both ongoing work of the Board and any work required to manage both foreseeable and unforeseeable future events.</w:t>
            </w:r>
          </w:p>
        </w:tc>
      </w:tr>
      <w:tr w:rsidR="00840290" w:rsidRPr="00840290" w:rsidTr="00840290">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ensure that consistent decision making takes place based on consistent recommendations and to consistent time frames.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an orientation pack and decision making resource for new members which may include relevant codes and guidelines, past decisions and actions and case studies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policy approaches to deal with registration issues e.g. CPD exemption</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policy, procedure and payment guidance for expert professional advice</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have  productive two way communication with compliance, notifications and registration management to enhance both decision making and operational implementation</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auto" w:fill="auto"/>
            <w:noWrap/>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review committee operation</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xml:space="preserve"> To undertake review of standards.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participate in the cross professional project being conducted to revise the profession specific registration standards for the OT, ATISHP and CM professions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engage in targeted information gathering and consultation as important elements of the review of profession specific standards project.</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obtain data and feedback from practitioners about supervised practice</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undertake  a project in conjunction with the review of standards to analyse and evaluate models of return to practice.</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bridge the gap between policy and operations.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policy compendiums and explanatory material to support the work of regulatory operations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ensure adequate support materials are provided for practitioners.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supporting material for existing Board polices and codes where required</w:t>
            </w:r>
          </w:p>
        </w:tc>
      </w:tr>
      <w:tr w:rsidR="00840290" w:rsidRPr="00840290" w:rsidTr="00840290">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lastRenderedPageBreak/>
              <w:t> </w:t>
            </w:r>
          </w:p>
        </w:tc>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a detailed Stakeholder analysis and management strategy.</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a detailed stakeholder analysis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xml:space="preserve"> To develop a strategic communications and relationships management plan</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maintain effective working relationships with key stakeholders.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Ensure that the stakeholder experience and stakeholder engagement is embedded in the review of standards, accreditation review and review of standards projects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engage with   the NSWOTC to publish the findings of the notifications project</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ensure the content of material distributed to practitioners particularly is clear, accurate and accessible</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ensure effective and timely review of accreditation arrangements.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commence a review of accreditation arrangements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develop a set of threshold professional competencies for Australian occupational therapists.</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facilitate the effective delivery of accreditation processes.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000000" w:fill="D0D1D2"/>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c>
          <w:tcPr>
            <w:tcW w:w="4380" w:type="dxa"/>
            <w:shd w:val="clear" w:color="000000" w:fill="D0D1D2"/>
            <w:hideMark/>
          </w:tcPr>
          <w:p w:rsidR="00840290" w:rsidRPr="00840290" w:rsidRDefault="00840290" w:rsidP="00840290">
            <w:pPr>
              <w:spacing w:before="120" w:after="120"/>
              <w:ind w:firstLineChars="100" w:firstLine="200"/>
              <w:rPr>
                <w:rFonts w:eastAsia="Times New Roman" w:cs="Arial"/>
                <w:color w:val="000000"/>
                <w:sz w:val="20"/>
                <w:szCs w:val="20"/>
                <w:lang w:eastAsia="en-AU"/>
              </w:rPr>
            </w:pPr>
            <w:r w:rsidRPr="00840290">
              <w:rPr>
                <w:rFonts w:eastAsia="Times New Roman" w:cs="Arial"/>
                <w:color w:val="000000"/>
                <w:sz w:val="20"/>
                <w:szCs w:val="20"/>
                <w:lang w:eastAsia="en-AU"/>
              </w:rPr>
              <w:t> </w:t>
            </w:r>
          </w:p>
        </w:tc>
      </w:tr>
      <w:tr w:rsidR="00840290" w:rsidRPr="00840290" w:rsidTr="00840290">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To engage with Executive Director of Regulatory Operations to improve the quality and consistency of regulatory operations.</w:t>
            </w:r>
          </w:p>
        </w:tc>
        <w:tc>
          <w:tcPr>
            <w:tcW w:w="4380" w:type="dxa"/>
            <w:shd w:val="clear" w:color="auto" w:fill="auto"/>
            <w:hideMark/>
          </w:tcPr>
          <w:p w:rsidR="00840290" w:rsidRPr="00840290" w:rsidRDefault="00840290" w:rsidP="00840290">
            <w:pPr>
              <w:spacing w:before="120" w:after="120"/>
              <w:rPr>
                <w:rFonts w:eastAsia="Times New Roman" w:cs="Arial"/>
                <w:color w:val="000000"/>
                <w:sz w:val="20"/>
                <w:szCs w:val="20"/>
                <w:lang w:eastAsia="en-AU"/>
              </w:rPr>
            </w:pPr>
            <w:r w:rsidRPr="00840290">
              <w:rPr>
                <w:rFonts w:eastAsia="Times New Roman" w:cs="Arial"/>
                <w:color w:val="000000"/>
                <w:sz w:val="20"/>
                <w:szCs w:val="20"/>
                <w:lang w:eastAsia="en-AU"/>
              </w:rPr>
              <w:t> </w:t>
            </w:r>
          </w:p>
        </w:tc>
      </w:tr>
    </w:tbl>
    <w:p w:rsidR="00840290" w:rsidRDefault="00840290" w:rsidP="007F3A76"/>
    <w:p w:rsidR="007F3A76" w:rsidRDefault="007F3A76" w:rsidP="007F3A76">
      <w:pPr>
        <w:pStyle w:val="AHPRASubheadinglevel2"/>
        <w:rPr>
          <w:rFonts w:cs="Arial"/>
        </w:rPr>
        <w:sectPr w:rsidR="007F3A76" w:rsidSect="00016854">
          <w:headerReference w:type="even" r:id="rId18"/>
          <w:headerReference w:type="default" r:id="rId19"/>
          <w:headerReference w:type="first" r:id="rId20"/>
          <w:footerReference w:type="first" r:id="rId21"/>
          <w:pgSz w:w="11900" w:h="16840"/>
          <w:pgMar w:top="1440" w:right="1440" w:bottom="1440" w:left="1440" w:header="284" w:footer="686" w:gutter="0"/>
          <w:cols w:space="708"/>
          <w:titlePg/>
          <w:docGrid w:linePitch="326"/>
        </w:sectPr>
      </w:pPr>
    </w:p>
    <w:p w:rsidR="007C7B7F" w:rsidRDefault="007C7B7F" w:rsidP="007C7B7F">
      <w:pPr>
        <w:pStyle w:val="AHPRADocumentsubheading"/>
      </w:pPr>
      <w:r w:rsidRPr="00016854">
        <w:lastRenderedPageBreak/>
        <w:t xml:space="preserve">Schedule 3: </w:t>
      </w:r>
      <w:r w:rsidR="00EF3024" w:rsidRPr="00016854">
        <w:t>Fees payable by health practitioners</w:t>
      </w:r>
    </w:p>
    <w:p w:rsidR="00030037" w:rsidRPr="00EB7298" w:rsidRDefault="00016854" w:rsidP="00030037">
      <w:pPr>
        <w:pStyle w:val="AHPRAbody"/>
        <w:rPr>
          <w:b/>
          <w:color w:val="007DC3"/>
        </w:rPr>
      </w:pPr>
      <w:r>
        <w:rPr>
          <w:b/>
          <w:color w:val="007DC3"/>
        </w:rPr>
        <w:t>OCCUPATIONAL THERAPY</w:t>
      </w:r>
      <w:r w:rsidR="00030037" w:rsidRPr="00EB7298">
        <w:rPr>
          <w:b/>
          <w:color w:val="007DC3"/>
        </w:rPr>
        <w:t xml:space="preserve"> BOARD OF AUSTRALIA</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1009"/>
        <w:gridCol w:w="1166"/>
        <w:gridCol w:w="1166"/>
      </w:tblGrid>
      <w:tr w:rsidR="009D4AD1" w:rsidRPr="009D4AD1" w:rsidTr="009D4AD1">
        <w:trPr>
          <w:trHeight w:val="315"/>
        </w:trPr>
        <w:tc>
          <w:tcPr>
            <w:tcW w:w="6400" w:type="dxa"/>
            <w:shd w:val="clear" w:color="auto" w:fill="auto"/>
            <w:noWrap/>
            <w:vAlign w:val="bottom"/>
            <w:hideMark/>
          </w:tcPr>
          <w:p w:rsidR="009D4AD1" w:rsidRPr="009D4AD1" w:rsidRDefault="009D4AD1" w:rsidP="009D4AD1">
            <w:pPr>
              <w:spacing w:before="60" w:after="60"/>
              <w:jc w:val="center"/>
              <w:rPr>
                <w:rFonts w:eastAsia="Times New Roman" w:cs="Arial"/>
                <w:b/>
                <w:bCs/>
                <w:color w:val="444444"/>
                <w:sz w:val="20"/>
                <w:szCs w:val="20"/>
                <w:lang w:eastAsia="en-AU"/>
              </w:rPr>
            </w:pPr>
            <w:r w:rsidRPr="009D4AD1">
              <w:rPr>
                <w:rFonts w:eastAsia="Times New Roman" w:cs="Arial"/>
                <w:b/>
                <w:bCs/>
                <w:color w:val="444444"/>
                <w:sz w:val="20"/>
                <w:szCs w:val="20"/>
                <w:lang w:eastAsia="en-AU"/>
              </w:rPr>
              <w:t>Item</w:t>
            </w:r>
          </w:p>
        </w:tc>
        <w:tc>
          <w:tcPr>
            <w:tcW w:w="1080" w:type="dxa"/>
            <w:shd w:val="clear" w:color="auto" w:fill="auto"/>
            <w:noWrap/>
            <w:vAlign w:val="bottom"/>
            <w:hideMark/>
          </w:tcPr>
          <w:p w:rsidR="009D4AD1" w:rsidRPr="009D4AD1" w:rsidRDefault="009D4AD1" w:rsidP="009D4AD1">
            <w:pPr>
              <w:spacing w:before="60" w:after="60"/>
              <w:jc w:val="right"/>
              <w:rPr>
                <w:rFonts w:eastAsia="Times New Roman" w:cs="Arial"/>
                <w:b/>
                <w:bCs/>
                <w:color w:val="444444"/>
                <w:sz w:val="20"/>
                <w:szCs w:val="20"/>
                <w:lang w:eastAsia="en-AU"/>
              </w:rPr>
            </w:pPr>
            <w:r w:rsidRPr="009D4AD1">
              <w:rPr>
                <w:rFonts w:eastAsia="Times New Roman" w:cs="Arial"/>
                <w:b/>
                <w:bCs/>
                <w:color w:val="444444"/>
                <w:sz w:val="20"/>
                <w:szCs w:val="20"/>
                <w:lang w:eastAsia="en-AU"/>
              </w:rPr>
              <w:t>National fee ($)</w:t>
            </w:r>
          </w:p>
        </w:tc>
        <w:tc>
          <w:tcPr>
            <w:tcW w:w="1080" w:type="dxa"/>
            <w:shd w:val="clear" w:color="auto" w:fill="auto"/>
            <w:noWrap/>
            <w:vAlign w:val="bottom"/>
            <w:hideMark/>
          </w:tcPr>
          <w:p w:rsidR="009D4AD1" w:rsidRPr="009D4AD1" w:rsidRDefault="009D4AD1" w:rsidP="009D4AD1">
            <w:pPr>
              <w:spacing w:before="60" w:after="60"/>
              <w:jc w:val="right"/>
              <w:rPr>
                <w:rFonts w:eastAsia="Times New Roman" w:cs="Arial"/>
                <w:b/>
                <w:bCs/>
                <w:color w:val="444444"/>
                <w:sz w:val="20"/>
                <w:szCs w:val="20"/>
                <w:lang w:eastAsia="en-AU"/>
              </w:rPr>
            </w:pPr>
            <w:r w:rsidRPr="009D4AD1">
              <w:rPr>
                <w:rFonts w:eastAsia="Times New Roman" w:cs="Arial"/>
                <w:b/>
                <w:bCs/>
                <w:color w:val="444444"/>
                <w:sz w:val="20"/>
                <w:szCs w:val="20"/>
                <w:lang w:eastAsia="en-AU"/>
              </w:rPr>
              <w:t>Rebate for NSW registrants ($)</w:t>
            </w:r>
          </w:p>
        </w:tc>
        <w:tc>
          <w:tcPr>
            <w:tcW w:w="1080" w:type="dxa"/>
            <w:shd w:val="clear" w:color="auto" w:fill="auto"/>
            <w:noWrap/>
            <w:vAlign w:val="bottom"/>
            <w:hideMark/>
          </w:tcPr>
          <w:p w:rsidR="009D4AD1" w:rsidRPr="009D4AD1" w:rsidRDefault="009D4AD1" w:rsidP="009D4AD1">
            <w:pPr>
              <w:spacing w:before="60" w:after="60"/>
              <w:jc w:val="right"/>
              <w:rPr>
                <w:rFonts w:eastAsia="Times New Roman" w:cs="Arial"/>
                <w:b/>
                <w:bCs/>
                <w:color w:val="444444"/>
                <w:sz w:val="20"/>
                <w:szCs w:val="20"/>
                <w:lang w:eastAsia="en-AU"/>
              </w:rPr>
            </w:pPr>
            <w:r w:rsidRPr="009D4AD1">
              <w:rPr>
                <w:rFonts w:eastAsia="Times New Roman" w:cs="Arial"/>
                <w:b/>
                <w:bCs/>
                <w:color w:val="444444"/>
                <w:sz w:val="20"/>
                <w:szCs w:val="20"/>
                <w:lang w:eastAsia="en-AU"/>
              </w:rPr>
              <w:t>Fee for registrants with principal place of practice in NSW ($)</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Application fee for general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Application fee for limited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Application fee for provisional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Application fee for non-practising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65</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65</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Application fee for fast track application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65</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65</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Registration fee for general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120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Registration fee for limited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120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Registration fee for provisional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130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120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Registration fee for non-practising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Late renewal fee for general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Late renewal fee for limited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Late renewal fee for provisional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32</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Late renewal fee for non-practising registration</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8</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8</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Replacement registration certificate</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20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20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Extract from the register</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10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Copy of the register (if application is assessed as in the public interest)</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2,000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2,000</w:t>
            </w:r>
          </w:p>
        </w:tc>
      </w:tr>
      <w:tr w:rsidR="009D4AD1" w:rsidRPr="009D4AD1" w:rsidTr="009D4AD1">
        <w:trPr>
          <w:trHeight w:val="315"/>
        </w:trPr>
        <w:tc>
          <w:tcPr>
            <w:tcW w:w="6400" w:type="dxa"/>
            <w:shd w:val="clear" w:color="auto" w:fill="auto"/>
            <w:noWrap/>
            <w:hideMark/>
          </w:tcPr>
          <w:p w:rsidR="009D4AD1" w:rsidRPr="009D4AD1" w:rsidRDefault="009D4AD1" w:rsidP="009D4AD1">
            <w:pPr>
              <w:spacing w:before="60" w:after="60"/>
              <w:rPr>
                <w:rFonts w:eastAsia="Times New Roman" w:cs="Arial"/>
                <w:color w:val="444444"/>
                <w:sz w:val="20"/>
                <w:szCs w:val="20"/>
                <w:lang w:eastAsia="en-AU"/>
              </w:rPr>
            </w:pPr>
            <w:r w:rsidRPr="009D4AD1">
              <w:rPr>
                <w:rFonts w:eastAsia="Times New Roman" w:cs="Arial"/>
                <w:color w:val="444444"/>
                <w:sz w:val="20"/>
                <w:szCs w:val="20"/>
                <w:lang w:eastAsia="en-AU"/>
              </w:rPr>
              <w:t>Verification of registration status (Certificate of Registration Status)</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50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0</w:t>
            </w:r>
          </w:p>
        </w:tc>
        <w:tc>
          <w:tcPr>
            <w:tcW w:w="1080" w:type="dxa"/>
            <w:shd w:val="clear" w:color="auto" w:fill="auto"/>
            <w:noWrap/>
            <w:hideMark/>
          </w:tcPr>
          <w:p w:rsidR="009D4AD1" w:rsidRPr="009D4AD1" w:rsidRDefault="009D4AD1" w:rsidP="009D4AD1">
            <w:pPr>
              <w:spacing w:before="60" w:after="60"/>
              <w:jc w:val="right"/>
              <w:rPr>
                <w:rFonts w:eastAsia="Times New Roman" w:cs="Arial"/>
                <w:color w:val="444444"/>
                <w:sz w:val="20"/>
                <w:szCs w:val="20"/>
                <w:lang w:eastAsia="en-AU"/>
              </w:rPr>
            </w:pPr>
            <w:r w:rsidRPr="009D4AD1">
              <w:rPr>
                <w:rFonts w:eastAsia="Times New Roman" w:cs="Arial"/>
                <w:color w:val="444444"/>
                <w:sz w:val="20"/>
                <w:szCs w:val="20"/>
                <w:lang w:eastAsia="en-AU"/>
              </w:rPr>
              <w:t>50</w:t>
            </w:r>
          </w:p>
        </w:tc>
      </w:tr>
    </w:tbl>
    <w:p w:rsidR="00BE617E" w:rsidRDefault="00BE617E" w:rsidP="00BE617E"/>
    <w:p w:rsidR="00287ADC" w:rsidRDefault="00287ADC">
      <w:pPr>
        <w:spacing w:after="0"/>
      </w:pPr>
      <w:r>
        <w:br w:type="page"/>
      </w:r>
    </w:p>
    <w:p w:rsidR="00EF3024" w:rsidRDefault="007C7B7F" w:rsidP="007C7B7F">
      <w:pPr>
        <w:pStyle w:val="AHPRADocumentsubheading"/>
      </w:pPr>
      <w:r w:rsidRPr="00016854">
        <w:lastRenderedPageBreak/>
        <w:t xml:space="preserve">Schedule 4: </w:t>
      </w:r>
      <w:r w:rsidR="006A0BC7" w:rsidRPr="00016854">
        <w:t xml:space="preserve">Summary of </w:t>
      </w:r>
      <w:r w:rsidR="00EF3024" w:rsidRPr="00016854">
        <w:t>National Board’s annual budget</w:t>
      </w:r>
    </w:p>
    <w:p w:rsidR="007C7B7F" w:rsidRPr="00EB7298" w:rsidRDefault="00016854" w:rsidP="007C7B7F">
      <w:pPr>
        <w:pStyle w:val="AHPRAbody"/>
        <w:rPr>
          <w:b/>
          <w:color w:val="007DC3"/>
        </w:rPr>
      </w:pPr>
      <w:r>
        <w:rPr>
          <w:b/>
          <w:color w:val="007DC3"/>
        </w:rPr>
        <w:t>OCCUPATIONAL THERAPY</w:t>
      </w:r>
      <w:r w:rsidR="00607E8C" w:rsidRPr="00EB7298">
        <w:rPr>
          <w:b/>
          <w:color w:val="007DC3"/>
        </w:rPr>
        <w:t xml:space="preserve"> </w:t>
      </w:r>
      <w:r w:rsidR="00EB7298" w:rsidRPr="00EB7298">
        <w:rPr>
          <w:b/>
          <w:color w:val="007DC3"/>
        </w:rPr>
        <w:t>BOARD OF AUSTRALIA</w:t>
      </w:r>
    </w:p>
    <w:p w:rsidR="00EF3024" w:rsidRPr="007C7B7F" w:rsidRDefault="00EF3024" w:rsidP="00EF3024">
      <w:pPr>
        <w:pStyle w:val="AHPRASubheadinglevel2"/>
      </w:pPr>
      <w:r>
        <w:t>Income and expenditure budget and balance sheet summary, budget notes</w:t>
      </w:r>
    </w:p>
    <w:p w:rsidR="00EB7298" w:rsidRDefault="00EB7298" w:rsidP="00792BB4">
      <w:pPr>
        <w:pStyle w:val="AHPRAbody"/>
        <w:spacing w:after="400"/>
        <w:rPr>
          <w:b/>
        </w:rPr>
      </w:pPr>
      <w:r w:rsidRPr="00EB7298">
        <w:rPr>
          <w:b/>
        </w:rPr>
        <w:t xml:space="preserve">SUMMARY BUDGET </w:t>
      </w:r>
      <w:r w:rsidR="002955CE">
        <w:rPr>
          <w:b/>
        </w:rPr>
        <w:t>2015/16</w:t>
      </w:r>
    </w:p>
    <w:tbl>
      <w:tblPr>
        <w:tblW w:w="9027" w:type="dxa"/>
        <w:tblInd w:w="94" w:type="dxa"/>
        <w:tblLook w:val="04A0" w:firstRow="1" w:lastRow="0" w:firstColumn="1" w:lastColumn="0" w:noHBand="0" w:noVBand="1"/>
      </w:tblPr>
      <w:tblGrid>
        <w:gridCol w:w="6264"/>
        <w:gridCol w:w="2763"/>
      </w:tblGrid>
      <w:tr w:rsidR="00F832F6" w:rsidRPr="00F832F6" w:rsidTr="00F832F6">
        <w:trPr>
          <w:trHeight w:val="930"/>
        </w:trPr>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jc w:val="center"/>
              <w:rPr>
                <w:rFonts w:eastAsia="Times New Roman" w:cs="Arial"/>
                <w:b/>
                <w:bCs/>
                <w:color w:val="000000"/>
                <w:sz w:val="20"/>
                <w:szCs w:val="20"/>
                <w:lang w:eastAsia="en-AU"/>
              </w:rPr>
            </w:pPr>
            <w:r w:rsidRPr="00F832F6">
              <w:rPr>
                <w:rFonts w:eastAsia="Times New Roman"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center"/>
              <w:rPr>
                <w:rFonts w:eastAsia="Times New Roman" w:cs="Arial"/>
                <w:b/>
                <w:bCs/>
                <w:color w:val="000000"/>
                <w:sz w:val="20"/>
                <w:szCs w:val="20"/>
                <w:lang w:eastAsia="en-AU"/>
              </w:rPr>
            </w:pPr>
            <w:r w:rsidRPr="00F832F6">
              <w:rPr>
                <w:rFonts w:eastAsia="Times New Roman" w:cs="Arial"/>
                <w:b/>
                <w:bCs/>
                <w:color w:val="000000"/>
                <w:sz w:val="20"/>
                <w:szCs w:val="20"/>
                <w:lang w:eastAsia="en-AU"/>
              </w:rPr>
              <w:t>$</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b/>
                <w:bCs/>
                <w:color w:val="000000"/>
                <w:sz w:val="20"/>
                <w:szCs w:val="20"/>
                <w:lang w:eastAsia="en-AU"/>
              </w:rPr>
            </w:pPr>
            <w:r w:rsidRPr="00F832F6">
              <w:rPr>
                <w:rFonts w:eastAsia="Times New Roman"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000000" w:fill="D8D8D8"/>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 </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$2,216,900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Application income</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$200,000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$280,000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$16,600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Other income *</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$6,000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b/>
                <w:bCs/>
                <w:color w:val="000000"/>
                <w:sz w:val="20"/>
                <w:szCs w:val="20"/>
                <w:lang w:eastAsia="en-AU"/>
              </w:rPr>
            </w:pPr>
            <w:r w:rsidRPr="00F832F6">
              <w:rPr>
                <w:rFonts w:eastAsia="Times New Roman"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$2,719,500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b/>
                <w:bCs/>
                <w:color w:val="000000"/>
                <w:sz w:val="20"/>
                <w:szCs w:val="20"/>
                <w:lang w:eastAsia="en-AU"/>
              </w:rPr>
            </w:pPr>
            <w:r w:rsidRPr="00F832F6">
              <w:rPr>
                <w:rFonts w:eastAsia="Times New Roman"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 </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Board and committee expenses (see note 2)</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$536,600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$67,100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7C6F48" w:rsidRDefault="00F832F6" w:rsidP="00F832F6">
            <w:pPr>
              <w:spacing w:after="0"/>
              <w:rPr>
                <w:rFonts w:eastAsia="Times New Roman" w:cs="Arial"/>
                <w:color w:val="000000"/>
                <w:sz w:val="20"/>
                <w:szCs w:val="20"/>
                <w:lang w:eastAsia="en-AU"/>
              </w:rPr>
            </w:pPr>
            <w:r w:rsidRPr="007C6F48">
              <w:rPr>
                <w:rFonts w:eastAsia="Times New Roman"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7C6F48">
              <w:rPr>
                <w:rFonts w:eastAsia="Times New Roman" w:cs="Arial"/>
                <w:color w:val="000000"/>
                <w:sz w:val="20"/>
                <w:szCs w:val="20"/>
                <w:lang w:eastAsia="en-AU"/>
              </w:rPr>
              <w:t>$187,200</w:t>
            </w:r>
          </w:p>
        </w:tc>
      </w:tr>
      <w:tr w:rsidR="00F832F6" w:rsidRPr="00F832F6" w:rsidTr="00F832F6">
        <w:trPr>
          <w:trHeight w:val="702"/>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EB565B" w:rsidP="00F832F6">
            <w:pPr>
              <w:spacing w:after="0"/>
              <w:rPr>
                <w:rFonts w:eastAsia="Times New Roman" w:cs="Arial"/>
                <w:color w:val="000000"/>
                <w:sz w:val="20"/>
                <w:szCs w:val="20"/>
                <w:lang w:eastAsia="en-AU"/>
              </w:rPr>
            </w:pPr>
            <w:r>
              <w:rPr>
                <w:rFonts w:eastAsia="Times New Roman"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$49,800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$287,000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color w:val="000000"/>
                <w:sz w:val="20"/>
                <w:szCs w:val="20"/>
                <w:lang w:eastAsia="en-AU"/>
              </w:rPr>
            </w:pPr>
            <w:r w:rsidRPr="00F832F6">
              <w:rPr>
                <w:rFonts w:eastAsia="Times New Roman"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$2,331,900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b/>
                <w:bCs/>
                <w:color w:val="000000"/>
                <w:sz w:val="20"/>
                <w:szCs w:val="20"/>
                <w:lang w:eastAsia="en-AU"/>
              </w:rPr>
            </w:pPr>
            <w:r w:rsidRPr="00F832F6">
              <w:rPr>
                <w:rFonts w:eastAsia="Times New Roman"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$3,459,600</w:t>
            </w:r>
          </w:p>
        </w:tc>
      </w:tr>
      <w:tr w:rsidR="00F832F6" w:rsidRPr="00F832F6" w:rsidTr="00F832F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F832F6" w:rsidRPr="00F832F6" w:rsidRDefault="00F832F6" w:rsidP="00F832F6">
            <w:pPr>
              <w:spacing w:after="0"/>
              <w:rPr>
                <w:rFonts w:eastAsia="Times New Roman" w:cs="Arial"/>
                <w:b/>
                <w:bCs/>
                <w:color w:val="000000"/>
                <w:sz w:val="20"/>
                <w:szCs w:val="20"/>
                <w:lang w:eastAsia="en-AU"/>
              </w:rPr>
            </w:pPr>
            <w:r w:rsidRPr="00F832F6">
              <w:rPr>
                <w:rFonts w:eastAsia="Times New Roman"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000000" w:fill="D8D8D8"/>
            <w:vAlign w:val="center"/>
            <w:hideMark/>
          </w:tcPr>
          <w:p w:rsidR="00F832F6" w:rsidRPr="00F832F6" w:rsidRDefault="00F832F6" w:rsidP="00F832F6">
            <w:pPr>
              <w:spacing w:after="0"/>
              <w:jc w:val="right"/>
              <w:rPr>
                <w:rFonts w:eastAsia="Times New Roman" w:cs="Arial"/>
                <w:color w:val="000000"/>
                <w:sz w:val="20"/>
                <w:szCs w:val="20"/>
                <w:lang w:eastAsia="en-AU"/>
              </w:rPr>
            </w:pPr>
            <w:r w:rsidRPr="00F832F6">
              <w:rPr>
                <w:rFonts w:eastAsia="Times New Roman" w:cs="Arial"/>
                <w:color w:val="000000"/>
                <w:sz w:val="20"/>
                <w:szCs w:val="20"/>
                <w:lang w:eastAsia="en-AU"/>
              </w:rPr>
              <w:t>($740,100)</w:t>
            </w:r>
          </w:p>
        </w:tc>
      </w:tr>
    </w:tbl>
    <w:p w:rsidR="00F832F6" w:rsidRPr="00F832F6" w:rsidRDefault="00F832F6" w:rsidP="00F832F6">
      <w:pPr>
        <w:spacing w:after="0"/>
        <w:rPr>
          <w:sz w:val="20"/>
        </w:rPr>
      </w:pPr>
    </w:p>
    <w:p w:rsidR="00F832F6" w:rsidRDefault="00F832F6" w:rsidP="00F832F6">
      <w:pPr>
        <w:spacing w:after="0"/>
        <w:rPr>
          <w:rFonts w:cs="Arial"/>
          <w:b/>
          <w:sz w:val="20"/>
        </w:rPr>
      </w:pPr>
      <w:r>
        <w:rPr>
          <w:b/>
        </w:rPr>
        <w:br w:type="page"/>
      </w:r>
    </w:p>
    <w:p w:rsidR="00F832F6" w:rsidRDefault="00F832F6" w:rsidP="00F832F6">
      <w:pPr>
        <w:pStyle w:val="AHPRAbody"/>
        <w:spacing w:after="400"/>
        <w:rPr>
          <w:b/>
        </w:rPr>
      </w:pPr>
      <w:r w:rsidRPr="00EB7298">
        <w:rPr>
          <w:b/>
        </w:rPr>
        <w:lastRenderedPageBreak/>
        <w:t xml:space="preserve">BUDGET </w:t>
      </w:r>
      <w:r>
        <w:rPr>
          <w:b/>
        </w:rPr>
        <w:t>NOTES</w:t>
      </w:r>
    </w:p>
    <w:tbl>
      <w:tblPr>
        <w:tblW w:w="9027"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6296"/>
        <w:gridCol w:w="67"/>
      </w:tblGrid>
      <w:tr w:rsidR="00F832F6" w:rsidRPr="00886ADB" w:rsidTr="00F832F6">
        <w:tc>
          <w:tcPr>
            <w:tcW w:w="2664" w:type="dxa"/>
            <w:tcBorders>
              <w:top w:val="nil"/>
              <w:bottom w:val="single" w:sz="4" w:space="0" w:color="auto"/>
            </w:tcBorders>
            <w:tcMar>
              <w:top w:w="0" w:type="dxa"/>
              <w:left w:w="108" w:type="dxa"/>
              <w:bottom w:w="0" w:type="dxa"/>
              <w:right w:w="108" w:type="dxa"/>
            </w:tcMar>
            <w:hideMark/>
          </w:tcPr>
          <w:p w:rsidR="00F832F6" w:rsidRPr="00886ADB" w:rsidRDefault="00F832F6" w:rsidP="00F832F6">
            <w:pPr>
              <w:pStyle w:val="ListParagraph"/>
              <w:numPr>
                <w:ilvl w:val="0"/>
                <w:numId w:val="40"/>
              </w:numPr>
              <w:spacing w:before="120" w:after="120"/>
              <w:ind w:left="318" w:hanging="284"/>
              <w:contextualSpacing w:val="0"/>
              <w:rPr>
                <w:rFonts w:cs="Arial"/>
                <w:color w:val="000000"/>
                <w:sz w:val="20"/>
                <w:szCs w:val="20"/>
              </w:rPr>
            </w:pPr>
            <w:r>
              <w:rPr>
                <w:rFonts w:cs="Arial"/>
                <w:color w:val="000000"/>
                <w:sz w:val="20"/>
                <w:szCs w:val="20"/>
              </w:rPr>
              <w:t>Registrant numbers</w:t>
            </w:r>
          </w:p>
        </w:tc>
        <w:tc>
          <w:tcPr>
            <w:tcW w:w="6296" w:type="dxa"/>
            <w:tcBorders>
              <w:top w:val="nil"/>
              <w:bottom w:val="single" w:sz="4" w:space="0" w:color="auto"/>
              <w:right w:val="nil"/>
            </w:tcBorders>
            <w:tcMar>
              <w:top w:w="0" w:type="dxa"/>
              <w:left w:w="108" w:type="dxa"/>
              <w:bottom w:w="0" w:type="dxa"/>
              <w:right w:w="108" w:type="dxa"/>
            </w:tcMar>
            <w:hideMark/>
          </w:tcPr>
          <w:p w:rsidR="00F832F6" w:rsidRPr="00D72E3D" w:rsidRDefault="00F832F6" w:rsidP="00F832F6">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w:t>
            </w:r>
            <w:r>
              <w:rPr>
                <w:rFonts w:cs="Arial"/>
                <w:color w:val="000000" w:themeColor="text1"/>
                <w:sz w:val="20"/>
                <w:szCs w:val="20"/>
              </w:rPr>
              <w:t xml:space="preserve"> from the following assumptions:</w:t>
            </w:r>
          </w:p>
          <w:p w:rsidR="00F832F6" w:rsidRPr="00B45124" w:rsidRDefault="00F832F6" w:rsidP="00F832F6">
            <w:pPr>
              <w:pStyle w:val="ListParagraph"/>
              <w:numPr>
                <w:ilvl w:val="0"/>
                <w:numId w:val="41"/>
              </w:numPr>
              <w:tabs>
                <w:tab w:val="right" w:leader="dot" w:pos="6180"/>
              </w:tabs>
              <w:spacing w:before="120" w:after="120"/>
              <w:ind w:left="170" w:hanging="170"/>
              <w:rPr>
                <w:color w:val="000000" w:themeColor="text1"/>
                <w:sz w:val="20"/>
                <w:szCs w:val="20"/>
              </w:rPr>
            </w:pPr>
            <w:r w:rsidRPr="00B45124">
              <w:rPr>
                <w:color w:val="000000" w:themeColor="text1"/>
                <w:sz w:val="20"/>
                <w:szCs w:val="20"/>
                <w:shd w:val="clear" w:color="auto" w:fill="FFFFFF" w:themeFill="background1"/>
              </w:rPr>
              <w:t>Budgeted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F832F6">
              <w:rPr>
                <w:color w:val="000000" w:themeColor="text1"/>
                <w:sz w:val="20"/>
                <w:szCs w:val="20"/>
                <w:shd w:val="clear" w:color="auto" w:fill="FFFFFF" w:themeFill="background1"/>
              </w:rPr>
              <w:t>16,641</w:t>
            </w:r>
          </w:p>
          <w:p w:rsidR="00F832F6" w:rsidRPr="00B45124" w:rsidRDefault="00F832F6" w:rsidP="00F832F6">
            <w:pPr>
              <w:pStyle w:val="ListParagraph"/>
              <w:numPr>
                <w:ilvl w:val="0"/>
                <w:numId w:val="41"/>
              </w:numPr>
              <w:tabs>
                <w:tab w:val="right" w:leader="dot" w:pos="6180"/>
              </w:tabs>
              <w:spacing w:before="120" w:after="120"/>
              <w:ind w:left="170" w:hanging="170"/>
              <w:rPr>
                <w:rFonts w:cs="Arial"/>
                <w:sz w:val="20"/>
                <w:szCs w:val="20"/>
              </w:rPr>
            </w:pPr>
            <w:r w:rsidRPr="00B45124">
              <w:rPr>
                <w:color w:val="000000" w:themeColor="text1"/>
                <w:sz w:val="20"/>
                <w:szCs w:val="20"/>
                <w:shd w:val="clear" w:color="auto" w:fill="FFFFFF" w:themeFill="background1"/>
              </w:rPr>
              <w:t>Budgeted lapse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F832F6">
              <w:rPr>
                <w:color w:val="000000" w:themeColor="text1"/>
                <w:sz w:val="20"/>
                <w:szCs w:val="20"/>
              </w:rPr>
              <w:t>4.45</w:t>
            </w:r>
            <w:r w:rsidRPr="00B45124">
              <w:rPr>
                <w:color w:val="000000" w:themeColor="text1"/>
                <w:sz w:val="20"/>
                <w:szCs w:val="20"/>
              </w:rPr>
              <w:t>%</w:t>
            </w:r>
          </w:p>
        </w:tc>
        <w:tc>
          <w:tcPr>
            <w:tcW w:w="67" w:type="dxa"/>
            <w:tcBorders>
              <w:top w:val="nil"/>
              <w:left w:val="nil"/>
              <w:bottom w:val="single" w:sz="4" w:space="0" w:color="auto"/>
            </w:tcBorders>
            <w:vAlign w:val="center"/>
            <w:hideMark/>
          </w:tcPr>
          <w:p w:rsidR="00F832F6" w:rsidRPr="00886ADB" w:rsidRDefault="00F832F6" w:rsidP="00F832F6">
            <w:pPr>
              <w:rPr>
                <w:sz w:val="20"/>
              </w:rPr>
            </w:pPr>
          </w:p>
        </w:tc>
      </w:tr>
      <w:tr w:rsidR="009B0AFA" w:rsidRPr="00886ADB" w:rsidTr="00F832F6">
        <w:tc>
          <w:tcPr>
            <w:tcW w:w="2664" w:type="dxa"/>
            <w:tcBorders>
              <w:top w:val="nil"/>
              <w:bottom w:val="single" w:sz="4" w:space="0" w:color="auto"/>
            </w:tcBorders>
            <w:tcMar>
              <w:top w:w="0" w:type="dxa"/>
              <w:left w:w="108" w:type="dxa"/>
              <w:bottom w:w="0" w:type="dxa"/>
              <w:right w:w="108" w:type="dxa"/>
            </w:tcMar>
            <w:hideMark/>
          </w:tcPr>
          <w:p w:rsidR="009B0AFA" w:rsidRPr="00886ADB" w:rsidRDefault="009B0AFA" w:rsidP="00F832F6">
            <w:pPr>
              <w:pStyle w:val="ListParagraph"/>
              <w:numPr>
                <w:ilvl w:val="0"/>
                <w:numId w:val="40"/>
              </w:numPr>
              <w:spacing w:before="120" w:after="120"/>
              <w:ind w:left="318" w:hanging="284"/>
              <w:contextualSpacing w:val="0"/>
              <w:rPr>
                <w:sz w:val="20"/>
              </w:rPr>
            </w:pPr>
            <w:r w:rsidRPr="00886ADB">
              <w:rPr>
                <w:rFonts w:cs="Arial"/>
                <w:color w:val="000000"/>
                <w:sz w:val="20"/>
                <w:szCs w:val="20"/>
              </w:rPr>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9B0AFA" w:rsidRPr="00886ADB" w:rsidRDefault="009B0AFA" w:rsidP="004D7B71">
            <w:pPr>
              <w:spacing w:before="120" w:after="120"/>
              <w:rPr>
                <w:rFonts w:ascii="Calibri" w:eastAsiaTheme="minorHAnsi" w:hAnsi="Calibri"/>
                <w:sz w:val="20"/>
                <w:szCs w:val="22"/>
              </w:rPr>
            </w:pPr>
            <w:r w:rsidRPr="00886ADB">
              <w:rPr>
                <w:rFonts w:cs="Arial"/>
                <w:sz w:val="20"/>
                <w:szCs w:val="20"/>
              </w:rPr>
              <w:t xml:space="preserve">This covers the meeting costs of the National Board, as well as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9B0AFA" w:rsidRPr="00886ADB" w:rsidRDefault="009B0AFA" w:rsidP="004D7B71">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9B0AFA" w:rsidRPr="00886ADB" w:rsidRDefault="009B0AFA" w:rsidP="00F832F6">
            <w:pPr>
              <w:rPr>
                <w:rFonts w:ascii="Calibri" w:eastAsiaTheme="minorHAnsi" w:hAnsi="Calibri"/>
                <w:sz w:val="20"/>
                <w:szCs w:val="22"/>
              </w:rPr>
            </w:pPr>
            <w:r w:rsidRPr="00886ADB">
              <w:rPr>
                <w:sz w:val="20"/>
              </w:rPr>
              <w:t> </w:t>
            </w:r>
          </w:p>
        </w:tc>
      </w:tr>
      <w:tr w:rsidR="009B0AFA" w:rsidRPr="00886ADB" w:rsidTr="00F832F6">
        <w:tc>
          <w:tcPr>
            <w:tcW w:w="2664" w:type="dxa"/>
            <w:tcBorders>
              <w:top w:val="single" w:sz="4" w:space="0" w:color="auto"/>
              <w:bottom w:val="single" w:sz="4" w:space="0" w:color="auto"/>
            </w:tcBorders>
            <w:tcMar>
              <w:top w:w="0" w:type="dxa"/>
              <w:left w:w="108" w:type="dxa"/>
              <w:bottom w:w="0" w:type="dxa"/>
              <w:right w:w="108" w:type="dxa"/>
            </w:tcMar>
            <w:hideMark/>
          </w:tcPr>
          <w:p w:rsidR="009B0AFA" w:rsidRPr="00886ADB" w:rsidRDefault="009B0AFA" w:rsidP="00F832F6">
            <w:pPr>
              <w:pStyle w:val="ListParagraph"/>
              <w:numPr>
                <w:ilvl w:val="0"/>
                <w:numId w:val="40"/>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9B0AFA" w:rsidRPr="00886ADB" w:rsidRDefault="009B0AFA" w:rsidP="004D7B71">
            <w:pPr>
              <w:spacing w:before="120" w:after="120"/>
              <w:rPr>
                <w:rFonts w:ascii="Calibri" w:eastAsiaTheme="minorHAnsi" w:hAnsi="Calibri"/>
                <w:sz w:val="20"/>
                <w:szCs w:val="22"/>
              </w:rPr>
            </w:pPr>
            <w:r w:rsidRPr="00886ADB">
              <w:rPr>
                <w:rFonts w:cs="Arial"/>
                <w:sz w:val="20"/>
                <w:szCs w:val="20"/>
              </w:rPr>
              <w:t xml:space="preserve">Note: These legal costs do not include the significant proportion of the Board's direct costs (including sitting fees) and a substantial amount of the work of </w:t>
            </w:r>
            <w:r>
              <w:rPr>
                <w:rFonts w:cs="Arial"/>
                <w:sz w:val="20"/>
                <w:szCs w:val="20"/>
              </w:rPr>
              <w:t>committees</w:t>
            </w:r>
            <w:r w:rsidRPr="00886ADB">
              <w:rPr>
                <w:rFonts w:cs="Arial"/>
                <w:sz w:val="20"/>
                <w:szCs w:val="20"/>
              </w:rPr>
              <w:t xml:space="preserve"> also relates to managing and assessing notifications.</w:t>
            </w:r>
          </w:p>
          <w:p w:rsidR="009B0AFA" w:rsidRPr="00886ADB" w:rsidRDefault="009B0AFA" w:rsidP="004D7B71">
            <w:pPr>
              <w:spacing w:before="120" w:after="120"/>
              <w:rPr>
                <w:rFonts w:ascii="Calibri" w:eastAsiaTheme="minorHAnsi" w:hAnsi="Calibri"/>
                <w:sz w:val="20"/>
                <w:szCs w:val="22"/>
              </w:rPr>
            </w:pPr>
            <w:r w:rsidRPr="00886ADB">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c>
          <w:tcPr>
            <w:tcW w:w="67" w:type="dxa"/>
            <w:tcBorders>
              <w:top w:val="single" w:sz="4" w:space="0" w:color="auto"/>
              <w:left w:val="nil"/>
              <w:bottom w:val="single" w:sz="4" w:space="0" w:color="auto"/>
            </w:tcBorders>
            <w:vAlign w:val="center"/>
            <w:hideMark/>
          </w:tcPr>
          <w:p w:rsidR="009B0AFA" w:rsidRPr="00886ADB" w:rsidRDefault="009B0AFA" w:rsidP="00F832F6">
            <w:pPr>
              <w:rPr>
                <w:rFonts w:ascii="Calibri" w:eastAsiaTheme="minorHAnsi" w:hAnsi="Calibri"/>
                <w:sz w:val="20"/>
                <w:szCs w:val="22"/>
              </w:rPr>
            </w:pPr>
            <w:r w:rsidRPr="00886ADB">
              <w:rPr>
                <w:sz w:val="20"/>
              </w:rPr>
              <w:t> </w:t>
            </w:r>
          </w:p>
        </w:tc>
      </w:tr>
      <w:tr w:rsidR="00F832F6" w:rsidRPr="00886ADB" w:rsidTr="00F832F6">
        <w:tc>
          <w:tcPr>
            <w:tcW w:w="2664" w:type="dxa"/>
            <w:tcBorders>
              <w:top w:val="single" w:sz="4" w:space="0" w:color="auto"/>
              <w:bottom w:val="single" w:sz="4" w:space="0" w:color="auto"/>
            </w:tcBorders>
            <w:tcMar>
              <w:top w:w="0" w:type="dxa"/>
              <w:left w:w="108" w:type="dxa"/>
              <w:bottom w:w="0" w:type="dxa"/>
              <w:right w:w="108" w:type="dxa"/>
            </w:tcMar>
            <w:hideMark/>
          </w:tcPr>
          <w:p w:rsidR="00F832F6" w:rsidRPr="009D4AD1" w:rsidRDefault="00F832F6" w:rsidP="00F832F6">
            <w:pPr>
              <w:pStyle w:val="ListParagraph"/>
              <w:numPr>
                <w:ilvl w:val="0"/>
                <w:numId w:val="40"/>
              </w:numPr>
              <w:spacing w:before="120" w:after="120"/>
              <w:ind w:left="318"/>
              <w:contextualSpacing w:val="0"/>
              <w:rPr>
                <w:sz w:val="20"/>
              </w:rPr>
            </w:pPr>
            <w:r w:rsidRPr="009D4AD1">
              <w:rPr>
                <w:rFonts w:cs="Arial"/>
                <w:color w:val="000000"/>
                <w:sz w:val="20"/>
                <w:szCs w:val="20"/>
              </w:rPr>
              <w:t>Accreditation</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F832F6" w:rsidRPr="007C6F48" w:rsidRDefault="00F832F6" w:rsidP="009D4AD1">
            <w:pPr>
              <w:autoSpaceDE w:val="0"/>
              <w:autoSpaceDN w:val="0"/>
              <w:spacing w:before="120" w:after="120"/>
              <w:rPr>
                <w:rFonts w:cs="Arial"/>
                <w:sz w:val="20"/>
                <w:szCs w:val="20"/>
              </w:rPr>
            </w:pPr>
            <w:r w:rsidRPr="007C6F48">
              <w:rPr>
                <w:rFonts w:cs="Arial"/>
                <w:sz w:val="20"/>
                <w:szCs w:val="20"/>
              </w:rPr>
              <w:t xml:space="preserve">Accreditation expenses include the costs of funding provided to </w:t>
            </w:r>
            <w:r w:rsidR="009D4AD1" w:rsidRPr="007C6F48">
              <w:rPr>
                <w:rFonts w:cs="Arial"/>
                <w:sz w:val="20"/>
                <w:szCs w:val="20"/>
              </w:rPr>
              <w:t xml:space="preserve">the Occupational Therapy Council (OTC) </w:t>
            </w:r>
            <w:r w:rsidRPr="007C6F48">
              <w:rPr>
                <w:rFonts w:cs="Arial"/>
                <w:sz w:val="20"/>
                <w:szCs w:val="20"/>
              </w:rPr>
              <w:t>for accreditation functions and projects.</w:t>
            </w:r>
          </w:p>
          <w:p w:rsidR="007C6F48" w:rsidRPr="007C6F48" w:rsidRDefault="007C6F48" w:rsidP="009D4AD1">
            <w:pPr>
              <w:autoSpaceDE w:val="0"/>
              <w:autoSpaceDN w:val="0"/>
              <w:spacing w:before="120" w:after="120"/>
              <w:rPr>
                <w:rFonts w:eastAsiaTheme="minorHAnsi" w:cs="Arial"/>
                <w:sz w:val="20"/>
                <w:szCs w:val="22"/>
              </w:rPr>
            </w:pPr>
            <w:r w:rsidRPr="007C6F48">
              <w:rPr>
                <w:rFonts w:eastAsiaTheme="minorHAnsi" w:cs="Arial"/>
                <w:sz w:val="20"/>
                <w:szCs w:val="22"/>
              </w:rPr>
              <w:t>Accreditation costs for 2015-2016 of $187,200 will no longer be incurred and will be subject to adjustment when the first forecast is prepared.</w:t>
            </w:r>
          </w:p>
        </w:tc>
        <w:tc>
          <w:tcPr>
            <w:tcW w:w="67" w:type="dxa"/>
            <w:tcBorders>
              <w:top w:val="single" w:sz="4" w:space="0" w:color="auto"/>
              <w:left w:val="nil"/>
              <w:bottom w:val="single" w:sz="4" w:space="0" w:color="auto"/>
            </w:tcBorders>
            <w:vAlign w:val="center"/>
            <w:hideMark/>
          </w:tcPr>
          <w:p w:rsidR="00F832F6" w:rsidRPr="007C6F48" w:rsidRDefault="00F832F6" w:rsidP="00F832F6">
            <w:pPr>
              <w:rPr>
                <w:rFonts w:eastAsiaTheme="minorHAnsi" w:cs="Arial"/>
                <w:sz w:val="20"/>
                <w:szCs w:val="22"/>
              </w:rPr>
            </w:pPr>
            <w:r w:rsidRPr="007C6F48">
              <w:rPr>
                <w:rFonts w:cs="Arial"/>
                <w:sz w:val="20"/>
              </w:rPr>
              <w:t> </w:t>
            </w:r>
          </w:p>
        </w:tc>
      </w:tr>
      <w:tr w:rsidR="00F832F6" w:rsidRPr="00886ADB" w:rsidTr="00F832F6">
        <w:tc>
          <w:tcPr>
            <w:tcW w:w="2664" w:type="dxa"/>
            <w:tcBorders>
              <w:top w:val="single" w:sz="4" w:space="0" w:color="auto"/>
              <w:bottom w:val="single" w:sz="4" w:space="0" w:color="auto"/>
            </w:tcBorders>
            <w:tcMar>
              <w:top w:w="0" w:type="dxa"/>
              <w:left w:w="108" w:type="dxa"/>
              <w:bottom w:w="0" w:type="dxa"/>
              <w:right w:w="108" w:type="dxa"/>
            </w:tcMar>
            <w:hideMark/>
          </w:tcPr>
          <w:p w:rsidR="00F832F6" w:rsidRPr="00886ADB" w:rsidRDefault="00F832F6" w:rsidP="00F832F6">
            <w:pPr>
              <w:pStyle w:val="ListParagraph"/>
              <w:numPr>
                <w:ilvl w:val="0"/>
                <w:numId w:val="40"/>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F832F6" w:rsidRPr="00886ADB" w:rsidRDefault="00F832F6" w:rsidP="00F832F6">
            <w:pPr>
              <w:spacing w:before="120" w:after="120"/>
              <w:rPr>
                <w:rFonts w:ascii="Calibri" w:eastAsiaTheme="minorHAnsi" w:hAnsi="Calibri"/>
                <w:sz w:val="20"/>
                <w:szCs w:val="22"/>
              </w:rPr>
            </w:pPr>
            <w:r w:rsidRPr="00886ADB">
              <w:rPr>
                <w:rFonts w:cs="Arial"/>
                <w:sz w:val="20"/>
                <w:szCs w:val="20"/>
              </w:rPr>
              <w:t xml:space="preserve">Costs associated with the Board’s work on registration standards, policies and guidelines. See </w:t>
            </w:r>
            <w:r w:rsidRPr="0035799E">
              <w:rPr>
                <w:sz w:val="20"/>
                <w:szCs w:val="20"/>
              </w:rPr>
              <w:t>Schedule 2: Summary of National Board’s regulatory work plan</w:t>
            </w:r>
            <w:r w:rsidRPr="00886ADB">
              <w:rPr>
                <w:rFonts w:cs="Arial"/>
                <w:sz w:val="20"/>
                <w:szCs w:val="20"/>
              </w:rPr>
              <w:t>.</w:t>
            </w:r>
          </w:p>
          <w:p w:rsidR="00F832F6" w:rsidRPr="00886ADB" w:rsidRDefault="00F832F6" w:rsidP="00F832F6">
            <w:pPr>
              <w:spacing w:before="120" w:after="120"/>
              <w:rPr>
                <w:sz w:val="20"/>
              </w:rPr>
            </w:pPr>
            <w:r w:rsidRPr="00886ADB">
              <w:rPr>
                <w:rFonts w:cs="Arial"/>
                <w:sz w:val="20"/>
                <w:szCs w:val="20"/>
              </w:rPr>
              <w:t>This includes the following activities:</w:t>
            </w:r>
          </w:p>
          <w:p w:rsidR="00F832F6" w:rsidRPr="00886ADB" w:rsidRDefault="00F832F6" w:rsidP="00F832F6">
            <w:pPr>
              <w:pStyle w:val="ListParagraph"/>
              <w:numPr>
                <w:ilvl w:val="0"/>
                <w:numId w:val="39"/>
              </w:numPr>
              <w:spacing w:before="120" w:after="120"/>
              <w:ind w:left="357" w:hanging="357"/>
              <w:rPr>
                <w:sz w:val="20"/>
              </w:rPr>
            </w:pPr>
            <w:r w:rsidRPr="00886ADB">
              <w:rPr>
                <w:rFonts w:cs="Arial"/>
                <w:sz w:val="20"/>
                <w:szCs w:val="20"/>
              </w:rPr>
              <w:t>costs involved in consultation with the community and the profession</w:t>
            </w:r>
          </w:p>
          <w:p w:rsidR="00F832F6" w:rsidRPr="00886ADB" w:rsidRDefault="00F832F6" w:rsidP="00F832F6">
            <w:pPr>
              <w:pStyle w:val="ListParagraph"/>
              <w:numPr>
                <w:ilvl w:val="0"/>
                <w:numId w:val="39"/>
              </w:numPr>
              <w:spacing w:before="120" w:after="120"/>
              <w:ind w:left="357" w:hanging="357"/>
              <w:rPr>
                <w:sz w:val="20"/>
              </w:rPr>
            </w:pPr>
            <w:r w:rsidRPr="00886ADB">
              <w:rPr>
                <w:rFonts w:cs="Arial"/>
                <w:sz w:val="20"/>
                <w:szCs w:val="20"/>
              </w:rPr>
              <w:t>engagement of consultants necessary to support the work of the Board</w:t>
            </w:r>
          </w:p>
          <w:p w:rsidR="00F832F6" w:rsidRPr="00886ADB" w:rsidRDefault="00F832F6" w:rsidP="00F832F6">
            <w:pPr>
              <w:pStyle w:val="ListParagraph"/>
              <w:numPr>
                <w:ilvl w:val="0"/>
                <w:numId w:val="39"/>
              </w:numPr>
              <w:spacing w:before="120" w:after="120"/>
              <w:ind w:left="357" w:hanging="357"/>
              <w:rPr>
                <w:sz w:val="20"/>
              </w:rPr>
            </w:pPr>
            <w:r w:rsidRPr="00886ADB">
              <w:rPr>
                <w:rFonts w:cs="Arial"/>
                <w:sz w:val="20"/>
                <w:szCs w:val="20"/>
              </w:rPr>
              <w:t>publication of material to guide the profession, such as the Board’s newsletter Update</w:t>
            </w:r>
          </w:p>
          <w:p w:rsidR="00F832F6" w:rsidRPr="00886ADB" w:rsidRDefault="00F832F6" w:rsidP="00F832F6">
            <w:pPr>
              <w:pStyle w:val="ListParagraph"/>
              <w:numPr>
                <w:ilvl w:val="0"/>
                <w:numId w:val="39"/>
              </w:numPr>
              <w:spacing w:before="120" w:after="120"/>
              <w:ind w:left="357" w:hanging="357"/>
              <w:rPr>
                <w:sz w:val="20"/>
              </w:rPr>
            </w:pPr>
            <w:r w:rsidRPr="00886ADB">
              <w:rPr>
                <w:rFonts w:cs="Arial"/>
                <w:sz w:val="20"/>
                <w:szCs w:val="20"/>
              </w:rPr>
              <w:t>Board member professional development</w:t>
            </w:r>
            <w:r w:rsidR="009D4AD1">
              <w:rPr>
                <w:rFonts w:cs="Arial"/>
                <w:sz w:val="20"/>
                <w:szCs w:val="20"/>
              </w:rPr>
              <w:t>, and</w:t>
            </w:r>
          </w:p>
          <w:p w:rsidR="00F832F6" w:rsidRPr="009D4AD1" w:rsidRDefault="00F832F6" w:rsidP="009D4AD1">
            <w:pPr>
              <w:pStyle w:val="ListParagraph"/>
              <w:numPr>
                <w:ilvl w:val="0"/>
                <w:numId w:val="39"/>
              </w:numPr>
              <w:spacing w:before="120" w:after="120"/>
              <w:ind w:left="357" w:hanging="357"/>
              <w:rPr>
                <w:sz w:val="20"/>
              </w:rPr>
            </w:pPr>
            <w:proofErr w:type="gramStart"/>
            <w:r w:rsidRPr="00886ADB">
              <w:rPr>
                <w:rFonts w:cs="Arial"/>
                <w:sz w:val="20"/>
                <w:szCs w:val="20"/>
              </w:rPr>
              <w:t>policy</w:t>
            </w:r>
            <w:proofErr w:type="gramEnd"/>
            <w:r w:rsidRPr="00886ADB">
              <w:rPr>
                <w:rFonts w:cs="Arial"/>
                <w:sz w:val="20"/>
                <w:szCs w:val="20"/>
              </w:rPr>
              <w:t xml:space="preserve"> development and projects</w:t>
            </w:r>
            <w:r w:rsidRPr="009D4AD1">
              <w:rPr>
                <w:rFonts w:cs="Arial"/>
                <w:sz w:val="20"/>
                <w:szCs w:val="20"/>
              </w:rPr>
              <w:t>.</w:t>
            </w:r>
          </w:p>
        </w:tc>
        <w:tc>
          <w:tcPr>
            <w:tcW w:w="67" w:type="dxa"/>
            <w:tcBorders>
              <w:top w:val="single" w:sz="4" w:space="0" w:color="auto"/>
              <w:left w:val="nil"/>
              <w:bottom w:val="single" w:sz="4" w:space="0" w:color="auto"/>
            </w:tcBorders>
            <w:vAlign w:val="center"/>
            <w:hideMark/>
          </w:tcPr>
          <w:p w:rsidR="00F832F6" w:rsidRPr="00886ADB" w:rsidRDefault="00F832F6" w:rsidP="00F832F6">
            <w:pPr>
              <w:rPr>
                <w:rFonts w:ascii="Calibri" w:eastAsiaTheme="minorHAnsi" w:hAnsi="Calibri"/>
                <w:sz w:val="20"/>
                <w:szCs w:val="22"/>
              </w:rPr>
            </w:pPr>
            <w:r w:rsidRPr="00886ADB">
              <w:rPr>
                <w:sz w:val="20"/>
              </w:rPr>
              <w:t> </w:t>
            </w:r>
          </w:p>
        </w:tc>
      </w:tr>
    </w:tbl>
    <w:p w:rsidR="00F832F6" w:rsidRPr="00B57AEE" w:rsidRDefault="00F832F6" w:rsidP="00F832F6">
      <w:pPr>
        <w:rPr>
          <w:sz w:val="20"/>
        </w:rPr>
      </w:pPr>
    </w:p>
    <w:p w:rsidR="00F832F6" w:rsidRDefault="00F832F6" w:rsidP="00F832F6">
      <w: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F832F6" w:rsidRPr="00886ADB" w:rsidTr="00F832F6">
        <w:tc>
          <w:tcPr>
            <w:tcW w:w="67" w:type="dxa"/>
            <w:tcBorders>
              <w:top w:val="single" w:sz="4" w:space="0" w:color="auto"/>
              <w:bottom w:val="single" w:sz="4" w:space="0" w:color="auto"/>
              <w:right w:val="nil"/>
            </w:tcBorders>
            <w:vAlign w:val="center"/>
            <w:hideMark/>
          </w:tcPr>
          <w:p w:rsidR="00F832F6" w:rsidRPr="00886ADB" w:rsidRDefault="00F832F6" w:rsidP="00F832F6">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F832F6" w:rsidRPr="005C4D78" w:rsidRDefault="00F832F6" w:rsidP="00F832F6">
            <w:pPr>
              <w:pStyle w:val="ListParagraph"/>
              <w:numPr>
                <w:ilvl w:val="0"/>
                <w:numId w:val="40"/>
              </w:numPr>
              <w:ind w:left="357" w:hanging="357"/>
              <w:rPr>
                <w:rFonts w:ascii="Times New Roman" w:eastAsia="Times New Roman" w:hAnsi="Times New Roman"/>
                <w:sz w:val="20"/>
                <w:szCs w:val="20"/>
              </w:rPr>
            </w:pPr>
            <w:r>
              <w:rPr>
                <w:rFonts w:cs="Arial"/>
                <w:color w:val="000000"/>
                <w:sz w:val="20"/>
                <w:szCs w:val="20"/>
              </w:rPr>
              <w:t>In</w:t>
            </w:r>
            <w:r w:rsidRPr="005C4D78">
              <w:rPr>
                <w:rFonts w:cs="Arial"/>
                <w:color w:val="000000"/>
                <w:sz w:val="20"/>
                <w:szCs w:val="20"/>
              </w:rPr>
              <w:t>direct expenditure</w:t>
            </w:r>
          </w:p>
        </w:tc>
        <w:tc>
          <w:tcPr>
            <w:tcW w:w="6296" w:type="dxa"/>
            <w:tcBorders>
              <w:top w:val="single" w:sz="4" w:space="0" w:color="auto"/>
              <w:left w:val="single" w:sz="4" w:space="0" w:color="auto"/>
              <w:bottom w:val="single" w:sz="4" w:space="0" w:color="auto"/>
              <w:right w:val="nil"/>
            </w:tcBorders>
            <w:vAlign w:val="center"/>
            <w:hideMark/>
          </w:tcPr>
          <w:p w:rsidR="00F832F6" w:rsidRDefault="00F832F6" w:rsidP="00F832F6">
            <w:pPr>
              <w:tabs>
                <w:tab w:val="right" w:leader="dot" w:pos="6237"/>
              </w:tabs>
              <w:spacing w:before="120" w:after="120"/>
              <w:ind w:left="113"/>
              <w:rPr>
                <w:rFonts w:cs="Arial"/>
                <w:color w:val="000000" w:themeColor="text1"/>
                <w:sz w:val="20"/>
                <w:szCs w:val="20"/>
                <w:lang w:eastAsia="en-AU"/>
              </w:rPr>
            </w:pPr>
            <w:r>
              <w:rPr>
                <w:rFonts w:cs="Arial"/>
                <w:color w:val="000000" w:themeColor="text1"/>
                <w:sz w:val="20"/>
                <w:szCs w:val="20"/>
                <w:lang w:eastAsia="en-AU"/>
              </w:rPr>
              <w:t>Total</w:t>
            </w:r>
            <w:r>
              <w:rPr>
                <w:rFonts w:cs="Arial"/>
                <w:color w:val="000000" w:themeColor="text1"/>
                <w:sz w:val="20"/>
                <w:szCs w:val="20"/>
                <w:lang w:eastAsia="en-AU"/>
              </w:rPr>
              <w:tab/>
            </w:r>
            <w:r w:rsidRPr="00F832F6">
              <w:rPr>
                <w:rFonts w:eastAsia="Times New Roman" w:cs="Arial"/>
                <w:color w:val="000000"/>
                <w:sz w:val="20"/>
                <w:szCs w:val="20"/>
                <w:lang w:eastAsia="en-AU"/>
              </w:rPr>
              <w:t>$2,331,900</w:t>
            </w:r>
          </w:p>
          <w:p w:rsidR="00F832F6" w:rsidRDefault="00F832F6" w:rsidP="00F832F6">
            <w:pPr>
              <w:spacing w:before="120" w:after="120"/>
              <w:ind w:left="113"/>
              <w:rPr>
                <w:rFonts w:cs="Arial"/>
                <w:color w:val="000000" w:themeColor="text1"/>
                <w:sz w:val="20"/>
                <w:szCs w:val="20"/>
                <w:lang w:eastAsia="en-AU"/>
              </w:rPr>
            </w:pPr>
            <w:r>
              <w:rPr>
                <w:rFonts w:cs="Arial"/>
                <w:sz w:val="20"/>
                <w:szCs w:val="20"/>
              </w:rPr>
              <w:t xml:space="preserve">The increased indirect expenditure in 2015/16 </w:t>
            </w:r>
            <w:r>
              <w:rPr>
                <w:sz w:val="20"/>
                <w:szCs w:val="20"/>
              </w:rPr>
              <w:t>reflects both a realignment of staff expenses from direct attribution to indirect, in addition to significant investment in critical service infrastructure. This investment includes replacing existing information systems, and remove inefficiencies in our operational model and existing processes to improve our performance.</w:t>
            </w:r>
          </w:p>
          <w:p w:rsidR="00F832F6" w:rsidRDefault="00F832F6" w:rsidP="00F832F6">
            <w:pPr>
              <w:spacing w:before="120" w:after="120"/>
              <w:ind w:left="113"/>
              <w:rPr>
                <w:rFonts w:cs="Arial"/>
                <w:color w:val="000000" w:themeColor="text1"/>
                <w:sz w:val="20"/>
                <w:szCs w:val="20"/>
                <w:lang w:eastAsia="en-AU"/>
              </w:rPr>
            </w:pPr>
            <w:r w:rsidRPr="008D042B">
              <w:rPr>
                <w:rFonts w:cs="Arial"/>
                <w:color w:val="000000" w:themeColor="text1"/>
                <w:sz w:val="20"/>
                <w:szCs w:val="20"/>
                <w:lang w:eastAsia="en-AU"/>
              </w:rPr>
              <w:t xml:space="preserve">Proportion of indirect costs allocated to the Board is </w:t>
            </w:r>
            <w:r>
              <w:rPr>
                <w:rFonts w:cs="Arial"/>
                <w:color w:val="000000"/>
                <w:sz w:val="20"/>
                <w:szCs w:val="20"/>
              </w:rPr>
              <w:t>1.70</w:t>
            </w:r>
            <w:r w:rsidRPr="008D042B">
              <w:rPr>
                <w:rFonts w:cs="Arial"/>
                <w:color w:val="000000" w:themeColor="text1"/>
                <w:sz w:val="20"/>
                <w:szCs w:val="20"/>
                <w:lang w:eastAsia="en-AU"/>
              </w:rPr>
              <w:t xml:space="preserve">%. </w:t>
            </w:r>
            <w:r>
              <w:rPr>
                <w:rFonts w:cs="Arial"/>
                <w:color w:val="000000" w:themeColor="text1"/>
                <w:sz w:val="20"/>
                <w:szCs w:val="20"/>
                <w:lang w:eastAsia="en-AU"/>
              </w:rPr>
              <w:t xml:space="preserve"> The percentage allocation for the Board in 2014/15 was </w:t>
            </w:r>
            <w:r w:rsidR="009128C7">
              <w:rPr>
                <w:rFonts w:cs="Arial"/>
                <w:color w:val="000000"/>
                <w:sz w:val="20"/>
                <w:szCs w:val="20"/>
              </w:rPr>
              <w:t>1.70</w:t>
            </w:r>
            <w:r>
              <w:rPr>
                <w:rFonts w:cs="Arial"/>
                <w:color w:val="000000" w:themeColor="text1"/>
                <w:sz w:val="20"/>
                <w:szCs w:val="20"/>
                <w:lang w:eastAsia="en-AU"/>
              </w:rPr>
              <w:t>%</w:t>
            </w:r>
            <w:r>
              <w:rPr>
                <w:rFonts w:cs="Arial"/>
                <w:color w:val="FF0000"/>
                <w:sz w:val="20"/>
                <w:szCs w:val="20"/>
                <w:lang w:eastAsia="en-AU"/>
              </w:rPr>
              <w:t>.</w:t>
            </w:r>
          </w:p>
          <w:p w:rsidR="00F832F6" w:rsidRDefault="00F832F6" w:rsidP="00F832F6">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F832F6" w:rsidRDefault="00F832F6" w:rsidP="00F832F6">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F832F6" w:rsidRPr="00886ADB" w:rsidRDefault="00F832F6" w:rsidP="00F832F6">
            <w:pPr>
              <w:spacing w:before="120" w:after="120"/>
              <w:ind w:left="113"/>
              <w:rPr>
                <w:rFonts w:ascii="Times New Roman" w:eastAsia="Times New Roman" w:hAnsi="Times New Roman"/>
                <w:sz w:val="20"/>
                <w:szCs w:val="20"/>
              </w:rPr>
            </w:pPr>
            <w:r>
              <w:rPr>
                <w:rFonts w:cs="Arial"/>
                <w:color w:val="000000" w:themeColor="text1"/>
                <w:sz w:val="20"/>
                <w:szCs w:val="20"/>
                <w:lang w:eastAsia="en-AU"/>
              </w:rPr>
              <w:t>The 2015/16 AHPRA business plan sets out AHPRA objectives for 2015/16 and how they will be achieved.</w:t>
            </w:r>
          </w:p>
        </w:tc>
        <w:tc>
          <w:tcPr>
            <w:tcW w:w="67" w:type="dxa"/>
            <w:tcBorders>
              <w:top w:val="single" w:sz="4" w:space="0" w:color="auto"/>
              <w:left w:val="nil"/>
              <w:bottom w:val="single" w:sz="4" w:space="0" w:color="auto"/>
            </w:tcBorders>
            <w:vAlign w:val="center"/>
            <w:hideMark/>
          </w:tcPr>
          <w:p w:rsidR="00F832F6" w:rsidRPr="00886ADB" w:rsidRDefault="00F832F6" w:rsidP="00F832F6">
            <w:pPr>
              <w:rPr>
                <w:rFonts w:ascii="Times New Roman" w:eastAsia="Times New Roman" w:hAnsi="Times New Roman"/>
                <w:sz w:val="20"/>
                <w:szCs w:val="20"/>
              </w:rPr>
            </w:pPr>
          </w:p>
        </w:tc>
      </w:tr>
    </w:tbl>
    <w:p w:rsidR="00F832F6" w:rsidRPr="00B57AEE" w:rsidRDefault="00F832F6" w:rsidP="00F832F6">
      <w:pPr>
        <w:pStyle w:val="AHPRAbody"/>
      </w:pPr>
    </w:p>
    <w:p w:rsidR="00330AA9" w:rsidRDefault="00330AA9" w:rsidP="007C7B7F">
      <w:pPr>
        <w:pStyle w:val="AHPRADocumentsubheading"/>
      </w:pPr>
    </w:p>
    <w:p w:rsidR="00287ADC" w:rsidRDefault="00287ADC">
      <w:pPr>
        <w:spacing w:after="0"/>
        <w:rPr>
          <w:rFonts w:cs="Arial"/>
          <w:color w:val="5F6062"/>
          <w:sz w:val="28"/>
          <w:szCs w:val="52"/>
        </w:rPr>
      </w:pPr>
      <w:r>
        <w:br w:type="page"/>
      </w:r>
    </w:p>
    <w:p w:rsidR="007C7B7F" w:rsidRPr="007C7B7F" w:rsidRDefault="007C7B7F" w:rsidP="007C7B7F">
      <w:pPr>
        <w:pStyle w:val="AHPRADocumentsubheading"/>
      </w:pPr>
      <w:r w:rsidRPr="007C7B7F">
        <w:lastRenderedPageBreak/>
        <w:t xml:space="preserve">Schedule </w:t>
      </w:r>
      <w:r>
        <w:t xml:space="preserve">5: </w:t>
      </w:r>
      <w:r w:rsidR="00627F08">
        <w:t>Strategic performance and management framework</w:t>
      </w:r>
    </w:p>
    <w:p w:rsidR="009128C7" w:rsidRDefault="009128C7" w:rsidP="009128C7">
      <w:pPr>
        <w:pStyle w:val="AHPRAbody"/>
        <w:rPr>
          <w:b/>
          <w:color w:val="007DC3"/>
        </w:rPr>
      </w:pPr>
      <w:bookmarkStart w:id="1" w:name="_Toc419299752"/>
      <w:r>
        <w:rPr>
          <w:b/>
          <w:color w:val="007DC3"/>
        </w:rPr>
        <w:t>New performance reporting framework</w:t>
      </w:r>
      <w:bookmarkEnd w:id="1"/>
    </w:p>
    <w:p w:rsidR="009128C7" w:rsidRDefault="009128C7" w:rsidP="009128C7">
      <w:pPr>
        <w:pStyle w:val="Default"/>
        <w:spacing w:after="200"/>
        <w:rPr>
          <w:sz w:val="20"/>
          <w:szCs w:val="20"/>
        </w:rPr>
      </w:pPr>
      <w:r>
        <w:rPr>
          <w:sz w:val="20"/>
          <w:szCs w:val="20"/>
        </w:rPr>
        <w:t xml:space="preserve">At its June 2015 meeting, the National Board advised its preference of frequency of volume and trend data being that quarterly reports would provide more meaningful data and approved the quarterly AHPRA performance report and volume and trend reports be inserted into Schedule 5 of the Health Profession Agreement. </w:t>
      </w:r>
    </w:p>
    <w:p w:rsidR="008947D6" w:rsidRPr="009128C7" w:rsidRDefault="009128C7" w:rsidP="009128C7">
      <w:pPr>
        <w:pStyle w:val="Default"/>
        <w:spacing w:after="200"/>
        <w:rPr>
          <w:sz w:val="20"/>
        </w:rPr>
      </w:pPr>
      <w:r w:rsidRPr="00CB5518">
        <w:rPr>
          <w:iCs/>
          <w:sz w:val="20"/>
        </w:rPr>
        <w:t>The reporting framework will be finalised by the end of Quarter 1 of 2015/16.</w:t>
      </w:r>
    </w:p>
    <w:sectPr w:rsidR="008947D6" w:rsidRPr="009128C7" w:rsidSect="006A0BC7">
      <w:headerReference w:type="even" r:id="rId22"/>
      <w:headerReference w:type="default" r:id="rId23"/>
      <w:headerReference w:type="first" r:id="rId24"/>
      <w:footerReference w:type="first" r:id="rId25"/>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F6" w:rsidRDefault="00F832F6" w:rsidP="00FC2881">
      <w:pPr>
        <w:spacing w:after="0"/>
      </w:pPr>
      <w:r>
        <w:separator/>
      </w:r>
    </w:p>
    <w:p w:rsidR="00F832F6" w:rsidRDefault="00F832F6"/>
  </w:endnote>
  <w:endnote w:type="continuationSeparator" w:id="0">
    <w:p w:rsidR="00F832F6" w:rsidRDefault="00F832F6" w:rsidP="00FC2881">
      <w:pPr>
        <w:spacing w:after="0"/>
      </w:pPr>
      <w:r>
        <w:continuationSeparator/>
      </w:r>
    </w:p>
    <w:p w:rsidR="00F832F6" w:rsidRDefault="00F8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607E8C" w:rsidRDefault="00F832F6" w:rsidP="002C6D22">
    <w:pPr>
      <w:pStyle w:val="AHPRAfooter"/>
      <w:rPr>
        <w:szCs w:val="18"/>
      </w:rPr>
    </w:pPr>
    <w:r>
      <w:rPr>
        <w:szCs w:val="18"/>
      </w:rPr>
      <w:t>Health Profession Agreement 2015/16</w:t>
    </w:r>
  </w:p>
  <w:p w:rsidR="00F832F6" w:rsidRPr="00607E8C" w:rsidRDefault="007E7D1A" w:rsidP="00607E8C">
    <w:pPr>
      <w:pStyle w:val="AHPRAfooter"/>
      <w:jc w:val="right"/>
      <w:rPr>
        <w:szCs w:val="18"/>
      </w:rPr>
    </w:pPr>
    <w:sdt>
      <w:sdtPr>
        <w:rPr>
          <w:szCs w:val="18"/>
        </w:rPr>
        <w:id w:val="8374046"/>
        <w:docPartObj>
          <w:docPartGallery w:val="Page Numbers (Top of Page)"/>
          <w:docPartUnique/>
        </w:docPartObj>
      </w:sdtPr>
      <w:sdtEndPr/>
      <w:sdtContent>
        <w:r w:rsidR="00F832F6" w:rsidRPr="00607E8C">
          <w:rPr>
            <w:szCs w:val="18"/>
          </w:rPr>
          <w:t xml:space="preserve">Page </w:t>
        </w:r>
        <w:r w:rsidR="00C87C35" w:rsidRPr="00607E8C">
          <w:rPr>
            <w:szCs w:val="18"/>
          </w:rPr>
          <w:fldChar w:fldCharType="begin"/>
        </w:r>
        <w:r w:rsidR="00F832F6" w:rsidRPr="00607E8C">
          <w:rPr>
            <w:szCs w:val="18"/>
          </w:rPr>
          <w:instrText xml:space="preserve"> PAGE </w:instrText>
        </w:r>
        <w:r w:rsidR="00C87C35" w:rsidRPr="00607E8C">
          <w:rPr>
            <w:szCs w:val="18"/>
          </w:rPr>
          <w:fldChar w:fldCharType="separate"/>
        </w:r>
        <w:r>
          <w:rPr>
            <w:noProof/>
            <w:szCs w:val="18"/>
          </w:rPr>
          <w:t>6</w:t>
        </w:r>
        <w:r w:rsidR="00C87C35" w:rsidRPr="00607E8C">
          <w:rPr>
            <w:szCs w:val="18"/>
          </w:rPr>
          <w:fldChar w:fldCharType="end"/>
        </w:r>
        <w:r w:rsidR="00F832F6" w:rsidRPr="00607E8C">
          <w:rPr>
            <w:szCs w:val="18"/>
          </w:rPr>
          <w:t xml:space="preserve"> of </w:t>
        </w:r>
        <w:r w:rsidR="00C87C35" w:rsidRPr="00607E8C">
          <w:rPr>
            <w:szCs w:val="18"/>
          </w:rPr>
          <w:fldChar w:fldCharType="begin"/>
        </w:r>
        <w:r w:rsidR="00F832F6" w:rsidRPr="00607E8C">
          <w:rPr>
            <w:szCs w:val="18"/>
          </w:rPr>
          <w:instrText xml:space="preserve"> NUMPAGES  </w:instrText>
        </w:r>
        <w:r w:rsidR="00C87C35" w:rsidRPr="00607E8C">
          <w:rPr>
            <w:szCs w:val="18"/>
          </w:rPr>
          <w:fldChar w:fldCharType="separate"/>
        </w:r>
        <w:r>
          <w:rPr>
            <w:noProof/>
            <w:szCs w:val="18"/>
          </w:rPr>
          <w:t>20</w:t>
        </w:r>
        <w:r w:rsidR="00C87C35"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E77E23" w:rsidRDefault="00F832F6"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F832F6" w:rsidRPr="00C76025" w:rsidRDefault="00F832F6"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C87C35" w:rsidP="00FC2881">
    <w:pPr>
      <w:pStyle w:val="AHPRAfootnote"/>
      <w:framePr w:wrap="around" w:vAnchor="text" w:hAnchor="margin" w:xAlign="right" w:y="1"/>
    </w:pPr>
    <w:r>
      <w:fldChar w:fldCharType="begin"/>
    </w:r>
    <w:r w:rsidR="00F832F6">
      <w:instrText xml:space="preserve">PAGE  </w:instrText>
    </w:r>
    <w:r>
      <w:fldChar w:fldCharType="end"/>
    </w:r>
  </w:p>
  <w:p w:rsidR="00F832F6" w:rsidRDefault="00F832F6" w:rsidP="00FC2881">
    <w:pPr>
      <w:pStyle w:val="AHPRAfootnote"/>
      <w:ind w:right="360"/>
    </w:pPr>
  </w:p>
  <w:p w:rsidR="00F832F6" w:rsidRDefault="00F832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607E8C" w:rsidRDefault="00F832F6" w:rsidP="00607E8C">
    <w:pPr>
      <w:pStyle w:val="AHPRAfooter"/>
      <w:rPr>
        <w:szCs w:val="18"/>
      </w:rPr>
    </w:pPr>
    <w:r>
      <w:rPr>
        <w:szCs w:val="18"/>
      </w:rPr>
      <w:t>Health Profession Agreement 2015/16</w:t>
    </w:r>
  </w:p>
  <w:p w:rsidR="00F832F6" w:rsidRPr="006A0BC7" w:rsidRDefault="007E7D1A" w:rsidP="00607E8C">
    <w:pPr>
      <w:pStyle w:val="AHPRAfooter"/>
      <w:spacing w:after="200"/>
      <w:jc w:val="right"/>
    </w:pPr>
    <w:sdt>
      <w:sdtPr>
        <w:rPr>
          <w:szCs w:val="18"/>
        </w:rPr>
        <w:id w:val="9138970"/>
        <w:docPartObj>
          <w:docPartGallery w:val="Page Numbers (Top of Page)"/>
          <w:docPartUnique/>
        </w:docPartObj>
      </w:sdtPr>
      <w:sdtEndPr/>
      <w:sdtContent>
        <w:r w:rsidR="00F832F6" w:rsidRPr="00607E8C">
          <w:rPr>
            <w:szCs w:val="18"/>
          </w:rPr>
          <w:t xml:space="preserve">Page </w:t>
        </w:r>
        <w:r w:rsidR="00C87C35" w:rsidRPr="00607E8C">
          <w:rPr>
            <w:szCs w:val="18"/>
          </w:rPr>
          <w:fldChar w:fldCharType="begin"/>
        </w:r>
        <w:r w:rsidR="00F832F6" w:rsidRPr="00607E8C">
          <w:rPr>
            <w:szCs w:val="18"/>
          </w:rPr>
          <w:instrText xml:space="preserve"> PAGE </w:instrText>
        </w:r>
        <w:r w:rsidR="00C87C35" w:rsidRPr="00607E8C">
          <w:rPr>
            <w:szCs w:val="18"/>
          </w:rPr>
          <w:fldChar w:fldCharType="separate"/>
        </w:r>
        <w:r>
          <w:rPr>
            <w:noProof/>
            <w:szCs w:val="18"/>
          </w:rPr>
          <w:t>20</w:t>
        </w:r>
        <w:r w:rsidR="00C87C35" w:rsidRPr="00607E8C">
          <w:rPr>
            <w:szCs w:val="18"/>
          </w:rPr>
          <w:fldChar w:fldCharType="end"/>
        </w:r>
        <w:r w:rsidR="00F832F6" w:rsidRPr="00607E8C">
          <w:rPr>
            <w:szCs w:val="18"/>
          </w:rPr>
          <w:t xml:space="preserve"> of </w:t>
        </w:r>
        <w:r w:rsidR="00C87C35" w:rsidRPr="00607E8C">
          <w:rPr>
            <w:szCs w:val="18"/>
          </w:rPr>
          <w:fldChar w:fldCharType="begin"/>
        </w:r>
        <w:r w:rsidR="00F832F6" w:rsidRPr="00607E8C">
          <w:rPr>
            <w:szCs w:val="18"/>
          </w:rPr>
          <w:instrText xml:space="preserve"> NUMPAGES  </w:instrText>
        </w:r>
        <w:r w:rsidR="00C87C35" w:rsidRPr="00607E8C">
          <w:rPr>
            <w:szCs w:val="18"/>
          </w:rPr>
          <w:fldChar w:fldCharType="separate"/>
        </w:r>
        <w:r>
          <w:rPr>
            <w:noProof/>
            <w:szCs w:val="18"/>
          </w:rPr>
          <w:t>20</w:t>
        </w:r>
        <w:r w:rsidR="00C87C35"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607E8C" w:rsidRDefault="00F832F6" w:rsidP="00607E8C">
    <w:pPr>
      <w:pStyle w:val="AHPRAfooter"/>
      <w:rPr>
        <w:szCs w:val="18"/>
      </w:rPr>
    </w:pPr>
    <w:r>
      <w:rPr>
        <w:szCs w:val="18"/>
      </w:rPr>
      <w:t>Health Profession Agreement 2015/16</w:t>
    </w:r>
  </w:p>
  <w:p w:rsidR="00F832F6" w:rsidRPr="006A0BC7" w:rsidRDefault="007E7D1A" w:rsidP="00607E8C">
    <w:pPr>
      <w:pStyle w:val="AHPRAfooter"/>
      <w:spacing w:after="200"/>
      <w:jc w:val="right"/>
    </w:pPr>
    <w:sdt>
      <w:sdtPr>
        <w:rPr>
          <w:szCs w:val="18"/>
        </w:rPr>
        <w:id w:val="9138969"/>
        <w:docPartObj>
          <w:docPartGallery w:val="Page Numbers (Top of Page)"/>
          <w:docPartUnique/>
        </w:docPartObj>
      </w:sdtPr>
      <w:sdtEndPr/>
      <w:sdtContent>
        <w:r w:rsidR="00F832F6" w:rsidRPr="00607E8C">
          <w:rPr>
            <w:szCs w:val="18"/>
          </w:rPr>
          <w:t xml:space="preserve">Page </w:t>
        </w:r>
        <w:r w:rsidR="00C87C35" w:rsidRPr="00607E8C">
          <w:rPr>
            <w:szCs w:val="18"/>
          </w:rPr>
          <w:fldChar w:fldCharType="begin"/>
        </w:r>
        <w:r w:rsidR="00F832F6" w:rsidRPr="00607E8C">
          <w:rPr>
            <w:szCs w:val="18"/>
          </w:rPr>
          <w:instrText xml:space="preserve"> PAGE </w:instrText>
        </w:r>
        <w:r w:rsidR="00C87C35" w:rsidRPr="00607E8C">
          <w:rPr>
            <w:szCs w:val="18"/>
          </w:rPr>
          <w:fldChar w:fldCharType="separate"/>
        </w:r>
        <w:r>
          <w:rPr>
            <w:noProof/>
            <w:szCs w:val="18"/>
          </w:rPr>
          <w:t>7</w:t>
        </w:r>
        <w:r w:rsidR="00C87C35" w:rsidRPr="00607E8C">
          <w:rPr>
            <w:szCs w:val="18"/>
          </w:rPr>
          <w:fldChar w:fldCharType="end"/>
        </w:r>
        <w:r w:rsidR="00F832F6" w:rsidRPr="00607E8C">
          <w:rPr>
            <w:szCs w:val="18"/>
          </w:rPr>
          <w:t xml:space="preserve"> of </w:t>
        </w:r>
        <w:r w:rsidR="00C87C35" w:rsidRPr="00607E8C">
          <w:rPr>
            <w:szCs w:val="18"/>
          </w:rPr>
          <w:fldChar w:fldCharType="begin"/>
        </w:r>
        <w:r w:rsidR="00F832F6" w:rsidRPr="00607E8C">
          <w:rPr>
            <w:szCs w:val="18"/>
          </w:rPr>
          <w:instrText xml:space="preserve"> NUMPAGES  </w:instrText>
        </w:r>
        <w:r w:rsidR="00C87C35" w:rsidRPr="00607E8C">
          <w:rPr>
            <w:szCs w:val="18"/>
          </w:rPr>
          <w:fldChar w:fldCharType="separate"/>
        </w:r>
        <w:r>
          <w:rPr>
            <w:noProof/>
            <w:szCs w:val="18"/>
          </w:rPr>
          <w:t>20</w:t>
        </w:r>
        <w:r w:rsidR="00C87C35"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607E8C" w:rsidRDefault="00F832F6" w:rsidP="00607E8C">
    <w:pPr>
      <w:pStyle w:val="AHPRAfooter"/>
      <w:rPr>
        <w:szCs w:val="18"/>
      </w:rPr>
    </w:pPr>
    <w:r>
      <w:rPr>
        <w:szCs w:val="18"/>
      </w:rPr>
      <w:t>Health Profession Agreement 2015/16</w:t>
    </w:r>
  </w:p>
  <w:p w:rsidR="00F832F6" w:rsidRPr="006A0BC7" w:rsidRDefault="007E7D1A" w:rsidP="00607E8C">
    <w:pPr>
      <w:pStyle w:val="AHPRAfooter"/>
      <w:spacing w:after="200"/>
      <w:jc w:val="right"/>
    </w:pPr>
    <w:sdt>
      <w:sdtPr>
        <w:rPr>
          <w:szCs w:val="18"/>
        </w:rPr>
        <w:id w:val="29313914"/>
        <w:docPartObj>
          <w:docPartGallery w:val="Page Numbers (Top of Page)"/>
          <w:docPartUnique/>
        </w:docPartObj>
      </w:sdtPr>
      <w:sdtEndPr/>
      <w:sdtContent>
        <w:r w:rsidR="00F832F6" w:rsidRPr="00607E8C">
          <w:rPr>
            <w:szCs w:val="18"/>
          </w:rPr>
          <w:t xml:space="preserve">Page </w:t>
        </w:r>
        <w:r w:rsidR="00C87C35" w:rsidRPr="00607E8C">
          <w:rPr>
            <w:szCs w:val="18"/>
          </w:rPr>
          <w:fldChar w:fldCharType="begin"/>
        </w:r>
        <w:r w:rsidR="00F832F6" w:rsidRPr="00607E8C">
          <w:rPr>
            <w:szCs w:val="18"/>
          </w:rPr>
          <w:instrText xml:space="preserve"> PAGE </w:instrText>
        </w:r>
        <w:r w:rsidR="00C87C35" w:rsidRPr="00607E8C">
          <w:rPr>
            <w:szCs w:val="18"/>
          </w:rPr>
          <w:fldChar w:fldCharType="separate"/>
        </w:r>
        <w:r>
          <w:rPr>
            <w:noProof/>
            <w:szCs w:val="18"/>
          </w:rPr>
          <w:t>14</w:t>
        </w:r>
        <w:r w:rsidR="00C87C35" w:rsidRPr="00607E8C">
          <w:rPr>
            <w:szCs w:val="18"/>
          </w:rPr>
          <w:fldChar w:fldCharType="end"/>
        </w:r>
        <w:r w:rsidR="00F832F6" w:rsidRPr="00607E8C">
          <w:rPr>
            <w:szCs w:val="18"/>
          </w:rPr>
          <w:t xml:space="preserve"> of </w:t>
        </w:r>
        <w:r w:rsidR="00C87C35" w:rsidRPr="00607E8C">
          <w:rPr>
            <w:szCs w:val="18"/>
          </w:rPr>
          <w:fldChar w:fldCharType="begin"/>
        </w:r>
        <w:r w:rsidR="00F832F6" w:rsidRPr="00607E8C">
          <w:rPr>
            <w:szCs w:val="18"/>
          </w:rPr>
          <w:instrText xml:space="preserve"> NUMPAGES  </w:instrText>
        </w:r>
        <w:r w:rsidR="00C87C35" w:rsidRPr="00607E8C">
          <w:rPr>
            <w:szCs w:val="18"/>
          </w:rPr>
          <w:fldChar w:fldCharType="separate"/>
        </w:r>
        <w:r>
          <w:rPr>
            <w:noProof/>
            <w:szCs w:val="18"/>
          </w:rPr>
          <w:t>20</w:t>
        </w:r>
        <w:r w:rsidR="00C87C35"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607E8C" w:rsidRDefault="00F832F6" w:rsidP="00607E8C">
    <w:pPr>
      <w:pStyle w:val="AHPRAfooter"/>
      <w:rPr>
        <w:szCs w:val="18"/>
      </w:rPr>
    </w:pPr>
    <w:r>
      <w:rPr>
        <w:szCs w:val="18"/>
      </w:rPr>
      <w:t>Health Profession Agreement 2015/16</w:t>
    </w:r>
  </w:p>
  <w:p w:rsidR="00F832F6" w:rsidRPr="006A0BC7" w:rsidRDefault="007E7D1A" w:rsidP="00607E8C">
    <w:pPr>
      <w:pStyle w:val="AHPRAfooter"/>
      <w:spacing w:after="200"/>
      <w:jc w:val="right"/>
    </w:pPr>
    <w:sdt>
      <w:sdtPr>
        <w:rPr>
          <w:szCs w:val="18"/>
        </w:rPr>
        <w:id w:val="9138972"/>
        <w:docPartObj>
          <w:docPartGallery w:val="Page Numbers (Top of Page)"/>
          <w:docPartUnique/>
        </w:docPartObj>
      </w:sdtPr>
      <w:sdtEndPr/>
      <w:sdtContent>
        <w:r w:rsidR="00F832F6" w:rsidRPr="00607E8C">
          <w:rPr>
            <w:szCs w:val="18"/>
          </w:rPr>
          <w:t xml:space="preserve">Page </w:t>
        </w:r>
        <w:r w:rsidR="00C87C35" w:rsidRPr="00607E8C">
          <w:rPr>
            <w:szCs w:val="18"/>
          </w:rPr>
          <w:fldChar w:fldCharType="begin"/>
        </w:r>
        <w:r w:rsidR="00F832F6" w:rsidRPr="00607E8C">
          <w:rPr>
            <w:szCs w:val="18"/>
          </w:rPr>
          <w:instrText xml:space="preserve"> PAGE </w:instrText>
        </w:r>
        <w:r w:rsidR="00C87C35" w:rsidRPr="00607E8C">
          <w:rPr>
            <w:szCs w:val="18"/>
          </w:rPr>
          <w:fldChar w:fldCharType="separate"/>
        </w:r>
        <w:r>
          <w:rPr>
            <w:noProof/>
            <w:szCs w:val="18"/>
          </w:rPr>
          <w:t>16</w:t>
        </w:r>
        <w:r w:rsidR="00C87C35" w:rsidRPr="00607E8C">
          <w:rPr>
            <w:szCs w:val="18"/>
          </w:rPr>
          <w:fldChar w:fldCharType="end"/>
        </w:r>
        <w:r w:rsidR="00F832F6" w:rsidRPr="00607E8C">
          <w:rPr>
            <w:szCs w:val="18"/>
          </w:rPr>
          <w:t xml:space="preserve"> of </w:t>
        </w:r>
        <w:r w:rsidR="00C87C35" w:rsidRPr="00607E8C">
          <w:rPr>
            <w:szCs w:val="18"/>
          </w:rPr>
          <w:fldChar w:fldCharType="begin"/>
        </w:r>
        <w:r w:rsidR="00F832F6" w:rsidRPr="00607E8C">
          <w:rPr>
            <w:szCs w:val="18"/>
          </w:rPr>
          <w:instrText xml:space="preserve"> NUMPAGES  </w:instrText>
        </w:r>
        <w:r w:rsidR="00C87C35" w:rsidRPr="00607E8C">
          <w:rPr>
            <w:szCs w:val="18"/>
          </w:rPr>
          <w:fldChar w:fldCharType="separate"/>
        </w:r>
        <w:r>
          <w:rPr>
            <w:noProof/>
            <w:szCs w:val="18"/>
          </w:rPr>
          <w:t>20</w:t>
        </w:r>
        <w:r w:rsidR="00C87C35"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F6" w:rsidRDefault="00F832F6" w:rsidP="000E7E28">
      <w:pPr>
        <w:spacing w:after="0"/>
      </w:pPr>
      <w:r>
        <w:separator/>
      </w:r>
    </w:p>
  </w:footnote>
  <w:footnote w:type="continuationSeparator" w:id="0">
    <w:p w:rsidR="00F832F6" w:rsidRDefault="00F832F6" w:rsidP="00FC2881">
      <w:pPr>
        <w:spacing w:after="0"/>
      </w:pPr>
      <w:r>
        <w:continuationSeparator/>
      </w:r>
    </w:p>
    <w:p w:rsidR="00F832F6" w:rsidRDefault="00F832F6"/>
  </w:footnote>
  <w:footnote w:type="continuationNotice" w:id="1">
    <w:p w:rsidR="00F832F6" w:rsidRDefault="00F832F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7E7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59" o:spid="_x0000_s2052" type="#_x0000_t136" style="position:absolute;margin-left:0;margin-top:0;width:545.4pt;height:90.9pt;rotation:315;z-index:-251654144;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F832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E32E42" w:rsidRDefault="00F832F6"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814288" w:rsidRDefault="00F832F6" w:rsidP="00814288">
    <w:pPr>
      <w:pStyle w:val="Header"/>
      <w:tabs>
        <w:tab w:val="clear" w:pos="4513"/>
        <w:tab w:val="clear" w:pos="9026"/>
        <w:tab w:val="left" w:pos="2825"/>
      </w:tabs>
      <w:spacing w:after="0"/>
      <w:jc w:val="right"/>
      <w:rPr>
        <w:rFonts w:cs="Arial"/>
        <w:sz w:val="22"/>
        <w:szCs w:val="22"/>
      </w:rPr>
    </w:pPr>
    <w:r w:rsidRPr="00016854">
      <w:rPr>
        <w:rFonts w:cs="Arial"/>
        <w:noProof/>
        <w:sz w:val="22"/>
        <w:szCs w:val="22"/>
        <w:lang w:eastAsia="en-AU"/>
      </w:rPr>
      <w:drawing>
        <wp:inline distT="0" distB="0" distL="0" distR="0">
          <wp:extent cx="2538069" cy="1584176"/>
          <wp:effectExtent l="0" t="0" r="0" b="0"/>
          <wp:docPr id="1" name="Picture 1" descr="Occupational Therapy Board of Australia and AHPRA logo. "/>
          <wp:cNvGraphicFramePr/>
          <a:graphic xmlns:a="http://schemas.openxmlformats.org/drawingml/2006/main">
            <a:graphicData uri="http://schemas.openxmlformats.org/drawingml/2006/picture">
              <pic:pic xmlns:pic="http://schemas.openxmlformats.org/drawingml/2006/picture">
                <pic:nvPicPr>
                  <pic:cNvPr id="6" name="Picture 14" descr="C:\Users\smarbrow\AppData\Local\Microsoft\Windows\Temporary Internet Files\Content.Word\OT_logo.jpg"/>
                  <pic:cNvPicPr>
                    <a:picLocks noChangeAspect="1" noChangeArrowheads="1"/>
                  </pic:cNvPicPr>
                </pic:nvPicPr>
                <pic:blipFill>
                  <a:blip r:embed="rId1" cstate="print"/>
                  <a:srcRect/>
                  <a:stretch>
                    <a:fillRect/>
                  </a:stretch>
                </pic:blipFill>
                <pic:spPr bwMode="auto">
                  <a:xfrm>
                    <a:off x="0" y="0"/>
                    <a:ext cx="2538069" cy="158417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7E7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2" o:spid="_x0000_s2055" type="#_x0000_t136" style="position:absolute;margin-left:0;margin-top:0;width:545.4pt;height:90.9pt;rotation:315;z-index:-251648000;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E32E42" w:rsidRDefault="00F832F6">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Pr="00E32E42" w:rsidRDefault="00F832F6" w:rsidP="00E844A0">
    <w:pP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7E7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5" o:spid="_x0000_s2058" type="#_x0000_t136" style="position:absolute;margin-left:0;margin-top:0;width:545.4pt;height:90.9pt;rotation:315;z-index:-251641856;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F832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F832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F6" w:rsidRDefault="007E7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8" o:spid="_x0000_s2061" type="#_x0000_t136" style="position:absolute;margin-left:0;margin-top:0;width:545.4pt;height:90.9pt;rotation:315;z-index:-251635712;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4C7CDB"/>
    <w:multiLevelType w:val="hybridMultilevel"/>
    <w:tmpl w:val="187ED982"/>
    <w:lvl w:ilvl="0" w:tplc="3A261A16">
      <w:start w:val="1"/>
      <w:numFmt w:val="decimal"/>
      <w:lvlText w:val="%1."/>
      <w:lvlJc w:val="left"/>
      <w:pPr>
        <w:ind w:left="1080" w:hanging="720"/>
      </w:pPr>
      <w:rPr>
        <w:rFonts w:hint="default"/>
      </w:rPr>
    </w:lvl>
    <w:lvl w:ilvl="1" w:tplc="D3FCFD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95650B"/>
    <w:multiLevelType w:val="hybridMultilevel"/>
    <w:tmpl w:val="3A2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82513"/>
    <w:multiLevelType w:val="hybridMultilevel"/>
    <w:tmpl w:val="E132EB9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10B7FF0"/>
    <w:multiLevelType w:val="hybridMultilevel"/>
    <w:tmpl w:val="013A7310"/>
    <w:lvl w:ilvl="0" w:tplc="BBCC252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AFDABD30">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19" w15:restartNumberingAfterBreak="0">
    <w:nsid w:val="48AD608B"/>
    <w:multiLevelType w:val="hybridMultilevel"/>
    <w:tmpl w:val="05F8534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60A92"/>
    <w:multiLevelType w:val="hybridMultilevel"/>
    <w:tmpl w:val="86D627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4138C"/>
    <w:multiLevelType w:val="hybridMultilevel"/>
    <w:tmpl w:val="FB3CD968"/>
    <w:lvl w:ilvl="0" w:tplc="0C7418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0E0FC5"/>
    <w:multiLevelType w:val="hybridMultilevel"/>
    <w:tmpl w:val="7B5AD108"/>
    <w:lvl w:ilvl="0" w:tplc="00FE6DB2">
      <w:start w:val="1"/>
      <w:numFmt w:val="decimal"/>
      <w:lvlText w:val="%1."/>
      <w:lvlJc w:val="left"/>
      <w:pPr>
        <w:ind w:left="720" w:hanging="360"/>
      </w:pPr>
    </w:lvl>
    <w:lvl w:ilvl="1" w:tplc="D25A64CA" w:tentative="1">
      <w:start w:val="1"/>
      <w:numFmt w:val="lowerLetter"/>
      <w:lvlText w:val="%2."/>
      <w:lvlJc w:val="left"/>
      <w:pPr>
        <w:ind w:left="1440" w:hanging="360"/>
      </w:pPr>
    </w:lvl>
    <w:lvl w:ilvl="2" w:tplc="11A08F30" w:tentative="1">
      <w:start w:val="1"/>
      <w:numFmt w:val="lowerRoman"/>
      <w:lvlText w:val="%3."/>
      <w:lvlJc w:val="right"/>
      <w:pPr>
        <w:ind w:left="2160" w:hanging="180"/>
      </w:pPr>
    </w:lvl>
    <w:lvl w:ilvl="3" w:tplc="ADF8859A" w:tentative="1">
      <w:start w:val="1"/>
      <w:numFmt w:val="decimal"/>
      <w:lvlText w:val="%4."/>
      <w:lvlJc w:val="left"/>
      <w:pPr>
        <w:ind w:left="2880" w:hanging="360"/>
      </w:pPr>
    </w:lvl>
    <w:lvl w:ilvl="4" w:tplc="CA3A9B0C" w:tentative="1">
      <w:start w:val="1"/>
      <w:numFmt w:val="lowerLetter"/>
      <w:lvlText w:val="%5."/>
      <w:lvlJc w:val="left"/>
      <w:pPr>
        <w:ind w:left="3600" w:hanging="360"/>
      </w:pPr>
    </w:lvl>
    <w:lvl w:ilvl="5" w:tplc="93745B18" w:tentative="1">
      <w:start w:val="1"/>
      <w:numFmt w:val="lowerRoman"/>
      <w:lvlText w:val="%6."/>
      <w:lvlJc w:val="right"/>
      <w:pPr>
        <w:ind w:left="4320" w:hanging="180"/>
      </w:pPr>
    </w:lvl>
    <w:lvl w:ilvl="6" w:tplc="390CCD38" w:tentative="1">
      <w:start w:val="1"/>
      <w:numFmt w:val="decimal"/>
      <w:lvlText w:val="%7."/>
      <w:lvlJc w:val="left"/>
      <w:pPr>
        <w:ind w:left="5040" w:hanging="360"/>
      </w:pPr>
    </w:lvl>
    <w:lvl w:ilvl="7" w:tplc="8A6E23CA" w:tentative="1">
      <w:start w:val="1"/>
      <w:numFmt w:val="lowerLetter"/>
      <w:lvlText w:val="%8."/>
      <w:lvlJc w:val="left"/>
      <w:pPr>
        <w:ind w:left="5760" w:hanging="360"/>
      </w:pPr>
    </w:lvl>
    <w:lvl w:ilvl="8" w:tplc="5B94A534" w:tentative="1">
      <w:start w:val="1"/>
      <w:numFmt w:val="lowerRoman"/>
      <w:lvlText w:val="%9."/>
      <w:lvlJc w:val="right"/>
      <w:pPr>
        <w:ind w:left="6480" w:hanging="180"/>
      </w:pPr>
    </w:lvl>
  </w:abstractNum>
  <w:abstractNum w:abstractNumId="23" w15:restartNumberingAfterBreak="0">
    <w:nsid w:val="6ACC55E0"/>
    <w:multiLevelType w:val="hybridMultilevel"/>
    <w:tmpl w:val="C96835DA"/>
    <w:lvl w:ilvl="0" w:tplc="CF38578C">
      <w:start w:val="1"/>
      <w:numFmt w:val="bullet"/>
      <w:pStyle w:val="AHPRABulletlevel3"/>
      <w:lvlText w:val="o"/>
      <w:lvlJc w:val="left"/>
      <w:pPr>
        <w:ind w:left="1440" w:hanging="360"/>
      </w:pPr>
      <w:rPr>
        <w:rFonts w:ascii="Courier New" w:hAnsi="Courier New" w:cs="Courier New" w:hint="default"/>
      </w:rPr>
    </w:lvl>
    <w:lvl w:ilvl="1" w:tplc="F0EC2C56" w:tentative="1">
      <w:start w:val="1"/>
      <w:numFmt w:val="bullet"/>
      <w:lvlText w:val="o"/>
      <w:lvlJc w:val="left"/>
      <w:pPr>
        <w:ind w:left="2160" w:hanging="360"/>
      </w:pPr>
      <w:rPr>
        <w:rFonts w:ascii="Courier New" w:hAnsi="Courier New" w:cs="Courier New" w:hint="default"/>
      </w:rPr>
    </w:lvl>
    <w:lvl w:ilvl="2" w:tplc="24EE48E2" w:tentative="1">
      <w:start w:val="1"/>
      <w:numFmt w:val="bullet"/>
      <w:lvlText w:val=""/>
      <w:lvlJc w:val="left"/>
      <w:pPr>
        <w:ind w:left="2880" w:hanging="360"/>
      </w:pPr>
      <w:rPr>
        <w:rFonts w:ascii="Wingdings" w:hAnsi="Wingdings" w:hint="default"/>
      </w:rPr>
    </w:lvl>
    <w:lvl w:ilvl="3" w:tplc="6AA48730" w:tentative="1">
      <w:start w:val="1"/>
      <w:numFmt w:val="bullet"/>
      <w:lvlText w:val=""/>
      <w:lvlJc w:val="left"/>
      <w:pPr>
        <w:ind w:left="3600" w:hanging="360"/>
      </w:pPr>
      <w:rPr>
        <w:rFonts w:ascii="Symbol" w:hAnsi="Symbol" w:hint="default"/>
      </w:rPr>
    </w:lvl>
    <w:lvl w:ilvl="4" w:tplc="BC06E908" w:tentative="1">
      <w:start w:val="1"/>
      <w:numFmt w:val="bullet"/>
      <w:lvlText w:val="o"/>
      <w:lvlJc w:val="left"/>
      <w:pPr>
        <w:ind w:left="4320" w:hanging="360"/>
      </w:pPr>
      <w:rPr>
        <w:rFonts w:ascii="Courier New" w:hAnsi="Courier New" w:cs="Courier New" w:hint="default"/>
      </w:rPr>
    </w:lvl>
    <w:lvl w:ilvl="5" w:tplc="949A8582" w:tentative="1">
      <w:start w:val="1"/>
      <w:numFmt w:val="bullet"/>
      <w:lvlText w:val=""/>
      <w:lvlJc w:val="left"/>
      <w:pPr>
        <w:ind w:left="5040" w:hanging="360"/>
      </w:pPr>
      <w:rPr>
        <w:rFonts w:ascii="Wingdings" w:hAnsi="Wingdings" w:hint="default"/>
      </w:rPr>
    </w:lvl>
    <w:lvl w:ilvl="6" w:tplc="4D64636C" w:tentative="1">
      <w:start w:val="1"/>
      <w:numFmt w:val="bullet"/>
      <w:lvlText w:val=""/>
      <w:lvlJc w:val="left"/>
      <w:pPr>
        <w:ind w:left="5760" w:hanging="360"/>
      </w:pPr>
      <w:rPr>
        <w:rFonts w:ascii="Symbol" w:hAnsi="Symbol" w:hint="default"/>
      </w:rPr>
    </w:lvl>
    <w:lvl w:ilvl="7" w:tplc="8B886A54" w:tentative="1">
      <w:start w:val="1"/>
      <w:numFmt w:val="bullet"/>
      <w:lvlText w:val="o"/>
      <w:lvlJc w:val="left"/>
      <w:pPr>
        <w:ind w:left="6480" w:hanging="360"/>
      </w:pPr>
      <w:rPr>
        <w:rFonts w:ascii="Courier New" w:hAnsi="Courier New" w:cs="Courier New" w:hint="default"/>
      </w:rPr>
    </w:lvl>
    <w:lvl w:ilvl="8" w:tplc="B74A3F3A" w:tentative="1">
      <w:start w:val="1"/>
      <w:numFmt w:val="bullet"/>
      <w:lvlText w:val=""/>
      <w:lvlJc w:val="left"/>
      <w:pPr>
        <w:ind w:left="7200" w:hanging="360"/>
      </w:pPr>
      <w:rPr>
        <w:rFonts w:ascii="Wingdings" w:hAnsi="Wingdings" w:hint="default"/>
      </w:rPr>
    </w:lvl>
  </w:abstractNum>
  <w:abstractNum w:abstractNumId="24" w15:restartNumberingAfterBreak="0">
    <w:nsid w:val="6E16209F"/>
    <w:multiLevelType w:val="hybridMultilevel"/>
    <w:tmpl w:val="5FFA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2610BB"/>
    <w:multiLevelType w:val="hybridMultilevel"/>
    <w:tmpl w:val="FF68D3AC"/>
    <w:lvl w:ilvl="0" w:tplc="9C7CD450">
      <w:start w:val="1"/>
      <w:numFmt w:val="bullet"/>
      <w:pStyle w:val="AHPRABulletlevel2"/>
      <w:lvlText w:val=""/>
      <w:lvlJc w:val="left"/>
      <w:pPr>
        <w:ind w:left="720" w:hanging="360"/>
      </w:pPr>
      <w:rPr>
        <w:rFonts w:ascii="Symbol" w:hAnsi="Symbol" w:hint="default"/>
      </w:rPr>
    </w:lvl>
    <w:lvl w:ilvl="1" w:tplc="79649134" w:tentative="1">
      <w:start w:val="1"/>
      <w:numFmt w:val="bullet"/>
      <w:lvlText w:val="o"/>
      <w:lvlJc w:val="left"/>
      <w:pPr>
        <w:ind w:left="1440" w:hanging="360"/>
      </w:pPr>
      <w:rPr>
        <w:rFonts w:ascii="Courier New" w:hAnsi="Courier New" w:cs="Courier New" w:hint="default"/>
      </w:rPr>
    </w:lvl>
    <w:lvl w:ilvl="2" w:tplc="1542E470" w:tentative="1">
      <w:start w:val="1"/>
      <w:numFmt w:val="bullet"/>
      <w:lvlText w:val=""/>
      <w:lvlJc w:val="left"/>
      <w:pPr>
        <w:ind w:left="2160" w:hanging="360"/>
      </w:pPr>
      <w:rPr>
        <w:rFonts w:ascii="Wingdings" w:hAnsi="Wingdings" w:hint="default"/>
      </w:rPr>
    </w:lvl>
    <w:lvl w:ilvl="3" w:tplc="4DA2AA22" w:tentative="1">
      <w:start w:val="1"/>
      <w:numFmt w:val="bullet"/>
      <w:lvlText w:val=""/>
      <w:lvlJc w:val="left"/>
      <w:pPr>
        <w:ind w:left="2880" w:hanging="360"/>
      </w:pPr>
      <w:rPr>
        <w:rFonts w:ascii="Symbol" w:hAnsi="Symbol" w:hint="default"/>
      </w:rPr>
    </w:lvl>
    <w:lvl w:ilvl="4" w:tplc="4B0A114A" w:tentative="1">
      <w:start w:val="1"/>
      <w:numFmt w:val="bullet"/>
      <w:lvlText w:val="o"/>
      <w:lvlJc w:val="left"/>
      <w:pPr>
        <w:ind w:left="3600" w:hanging="360"/>
      </w:pPr>
      <w:rPr>
        <w:rFonts w:ascii="Courier New" w:hAnsi="Courier New" w:cs="Courier New" w:hint="default"/>
      </w:rPr>
    </w:lvl>
    <w:lvl w:ilvl="5" w:tplc="9556990E" w:tentative="1">
      <w:start w:val="1"/>
      <w:numFmt w:val="bullet"/>
      <w:lvlText w:val=""/>
      <w:lvlJc w:val="left"/>
      <w:pPr>
        <w:ind w:left="4320" w:hanging="360"/>
      </w:pPr>
      <w:rPr>
        <w:rFonts w:ascii="Wingdings" w:hAnsi="Wingdings" w:hint="default"/>
      </w:rPr>
    </w:lvl>
    <w:lvl w:ilvl="6" w:tplc="3C3AF786" w:tentative="1">
      <w:start w:val="1"/>
      <w:numFmt w:val="bullet"/>
      <w:lvlText w:val=""/>
      <w:lvlJc w:val="left"/>
      <w:pPr>
        <w:ind w:left="5040" w:hanging="360"/>
      </w:pPr>
      <w:rPr>
        <w:rFonts w:ascii="Symbol" w:hAnsi="Symbol" w:hint="default"/>
      </w:rPr>
    </w:lvl>
    <w:lvl w:ilvl="7" w:tplc="9C108162" w:tentative="1">
      <w:start w:val="1"/>
      <w:numFmt w:val="bullet"/>
      <w:lvlText w:val="o"/>
      <w:lvlJc w:val="left"/>
      <w:pPr>
        <w:ind w:left="5760" w:hanging="360"/>
      </w:pPr>
      <w:rPr>
        <w:rFonts w:ascii="Courier New" w:hAnsi="Courier New" w:cs="Courier New" w:hint="default"/>
      </w:rPr>
    </w:lvl>
    <w:lvl w:ilvl="8" w:tplc="0B842780"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abstractNum w:abstractNumId="27" w15:restartNumberingAfterBreak="0">
    <w:nsid w:val="7E1F4244"/>
    <w:multiLevelType w:val="hybridMultilevel"/>
    <w:tmpl w:val="6B366054"/>
    <w:lvl w:ilvl="0" w:tplc="0C090001">
      <w:start w:val="1"/>
      <w:numFmt w:val="bullet"/>
      <w:lvlText w:val=""/>
      <w:lvlJc w:val="left"/>
      <w:pPr>
        <w:ind w:left="1077" w:hanging="360"/>
      </w:pPr>
      <w:rPr>
        <w:rFonts w:ascii="Symbol" w:hAnsi="Symbol" w:hint="default"/>
      </w:rPr>
    </w:lvl>
    <w:lvl w:ilvl="1" w:tplc="669CDFEE">
      <w:start w:val="1"/>
      <w:numFmt w:val="bullet"/>
      <w:lvlText w:val="-"/>
      <w:lvlJc w:val="left"/>
      <w:pPr>
        <w:ind w:left="1797" w:hanging="360"/>
      </w:pPr>
      <w:rPr>
        <w:rFonts w:ascii="Courier New" w:hAnsi="Courier New" w:hint="default"/>
      </w:rPr>
    </w:lvl>
    <w:lvl w:ilvl="2" w:tplc="0C090001">
      <w:start w:val="1"/>
      <w:numFmt w:val="bullet"/>
      <w:lvlText w:val=""/>
      <w:lvlJc w:val="left"/>
      <w:pPr>
        <w:ind w:left="2517" w:hanging="360"/>
      </w:pPr>
      <w:rPr>
        <w:rFonts w:ascii="Symbol" w:hAnsi="Symbol"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7EE608A9"/>
    <w:multiLevelType w:val="hybridMultilevel"/>
    <w:tmpl w:val="B9F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3"/>
  </w:num>
  <w:num w:numId="5">
    <w:abstractNumId w:val="25"/>
  </w:num>
  <w:num w:numId="6">
    <w:abstractNumId w:val="2"/>
  </w:num>
  <w:num w:numId="7">
    <w:abstractNumId w:val="26"/>
  </w:num>
  <w:num w:numId="8">
    <w:abstractNumId w:val="16"/>
  </w:num>
  <w:num w:numId="9">
    <w:abstractNumId w:val="15"/>
  </w:num>
  <w:num w:numId="10">
    <w:abstractNumId w:val="14"/>
  </w:num>
  <w:num w:numId="11">
    <w:abstractNumId w:val="4"/>
  </w:num>
  <w:num w:numId="12">
    <w:abstractNumId w:val="20"/>
  </w:num>
  <w:num w:numId="13">
    <w:abstractNumId w:val="5"/>
  </w:num>
  <w:num w:numId="14">
    <w:abstractNumId w:val="19"/>
  </w:num>
  <w:num w:numId="15">
    <w:abstractNumId w:val="8"/>
  </w:num>
  <w:num w:numId="16">
    <w:abstractNumId w:val="22"/>
  </w:num>
  <w:num w:numId="17">
    <w:abstractNumId w:val="0"/>
  </w:num>
  <w:num w:numId="18">
    <w:abstractNumId w:val="18"/>
  </w:num>
  <w:num w:numId="19">
    <w:abstractNumId w:val="6"/>
  </w:num>
  <w:num w:numId="20">
    <w:abstractNumId w:val="21"/>
  </w:num>
  <w:num w:numId="21">
    <w:abstractNumId w:val="27"/>
  </w:num>
  <w:num w:numId="22">
    <w:abstractNumId w:val="13"/>
  </w:num>
  <w:num w:numId="23">
    <w:abstractNumId w:val="28"/>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9"/>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16854"/>
    <w:rsid w:val="00020093"/>
    <w:rsid w:val="00030037"/>
    <w:rsid w:val="000334D7"/>
    <w:rsid w:val="00071439"/>
    <w:rsid w:val="000945FB"/>
    <w:rsid w:val="000A6BF7"/>
    <w:rsid w:val="000B7232"/>
    <w:rsid w:val="000C6EE8"/>
    <w:rsid w:val="000D298F"/>
    <w:rsid w:val="000D44C4"/>
    <w:rsid w:val="000E7E28"/>
    <w:rsid w:val="000F3955"/>
    <w:rsid w:val="000F5D90"/>
    <w:rsid w:val="0010139F"/>
    <w:rsid w:val="001015B5"/>
    <w:rsid w:val="00110C71"/>
    <w:rsid w:val="00134C77"/>
    <w:rsid w:val="00144DEF"/>
    <w:rsid w:val="001506FE"/>
    <w:rsid w:val="00155025"/>
    <w:rsid w:val="0016168A"/>
    <w:rsid w:val="00172CCE"/>
    <w:rsid w:val="001A3A7E"/>
    <w:rsid w:val="001B1E5F"/>
    <w:rsid w:val="001B402F"/>
    <w:rsid w:val="001C3033"/>
    <w:rsid w:val="001C425C"/>
    <w:rsid w:val="001C5F7E"/>
    <w:rsid w:val="001D2CEA"/>
    <w:rsid w:val="001D47AA"/>
    <w:rsid w:val="001E1E31"/>
    <w:rsid w:val="001E2849"/>
    <w:rsid w:val="001E4A94"/>
    <w:rsid w:val="001E5621"/>
    <w:rsid w:val="002013BA"/>
    <w:rsid w:val="00212A06"/>
    <w:rsid w:val="00214725"/>
    <w:rsid w:val="00220770"/>
    <w:rsid w:val="00220A3B"/>
    <w:rsid w:val="00224708"/>
    <w:rsid w:val="002772AA"/>
    <w:rsid w:val="0028013F"/>
    <w:rsid w:val="00287ADC"/>
    <w:rsid w:val="00292B93"/>
    <w:rsid w:val="00292F2E"/>
    <w:rsid w:val="00293CCC"/>
    <w:rsid w:val="002955CE"/>
    <w:rsid w:val="00295B44"/>
    <w:rsid w:val="002B2D48"/>
    <w:rsid w:val="002C08FB"/>
    <w:rsid w:val="002C34EA"/>
    <w:rsid w:val="002C6D22"/>
    <w:rsid w:val="002D02AB"/>
    <w:rsid w:val="002E3A43"/>
    <w:rsid w:val="00303BE1"/>
    <w:rsid w:val="00305AFC"/>
    <w:rsid w:val="00310949"/>
    <w:rsid w:val="00330AA9"/>
    <w:rsid w:val="00333488"/>
    <w:rsid w:val="003354E4"/>
    <w:rsid w:val="0037245D"/>
    <w:rsid w:val="0037447E"/>
    <w:rsid w:val="00380E23"/>
    <w:rsid w:val="003C336D"/>
    <w:rsid w:val="003D1528"/>
    <w:rsid w:val="003D6DBD"/>
    <w:rsid w:val="003E00B5"/>
    <w:rsid w:val="003E3268"/>
    <w:rsid w:val="003F2F06"/>
    <w:rsid w:val="00405C0A"/>
    <w:rsid w:val="00414F2C"/>
    <w:rsid w:val="0042584E"/>
    <w:rsid w:val="00450B34"/>
    <w:rsid w:val="004606A7"/>
    <w:rsid w:val="0049041D"/>
    <w:rsid w:val="00497171"/>
    <w:rsid w:val="004A2393"/>
    <w:rsid w:val="004A5E5D"/>
    <w:rsid w:val="004B747B"/>
    <w:rsid w:val="004D7537"/>
    <w:rsid w:val="004E3F5E"/>
    <w:rsid w:val="004E753C"/>
    <w:rsid w:val="004F5C05"/>
    <w:rsid w:val="005001B9"/>
    <w:rsid w:val="0053749F"/>
    <w:rsid w:val="00553A4C"/>
    <w:rsid w:val="00554335"/>
    <w:rsid w:val="005565CE"/>
    <w:rsid w:val="005708AE"/>
    <w:rsid w:val="0058270A"/>
    <w:rsid w:val="00583029"/>
    <w:rsid w:val="00583A8B"/>
    <w:rsid w:val="005A0FA9"/>
    <w:rsid w:val="005B2FA7"/>
    <w:rsid w:val="005C5932"/>
    <w:rsid w:val="005C6817"/>
    <w:rsid w:val="00607E8C"/>
    <w:rsid w:val="006125ED"/>
    <w:rsid w:val="00616043"/>
    <w:rsid w:val="00627C5F"/>
    <w:rsid w:val="00627F08"/>
    <w:rsid w:val="006331D1"/>
    <w:rsid w:val="00640B2C"/>
    <w:rsid w:val="006501CC"/>
    <w:rsid w:val="00664752"/>
    <w:rsid w:val="00667CAD"/>
    <w:rsid w:val="00681D5E"/>
    <w:rsid w:val="00693679"/>
    <w:rsid w:val="00693E61"/>
    <w:rsid w:val="00696578"/>
    <w:rsid w:val="006A0BC7"/>
    <w:rsid w:val="006A672C"/>
    <w:rsid w:val="006B07AF"/>
    <w:rsid w:val="006B7B6C"/>
    <w:rsid w:val="006C0257"/>
    <w:rsid w:val="006C0E29"/>
    <w:rsid w:val="006D30FE"/>
    <w:rsid w:val="006D3757"/>
    <w:rsid w:val="006F7348"/>
    <w:rsid w:val="006F796D"/>
    <w:rsid w:val="0070155F"/>
    <w:rsid w:val="007372A4"/>
    <w:rsid w:val="00741B04"/>
    <w:rsid w:val="00754466"/>
    <w:rsid w:val="0076115C"/>
    <w:rsid w:val="007664F3"/>
    <w:rsid w:val="0079197C"/>
    <w:rsid w:val="00792BB4"/>
    <w:rsid w:val="007A35B9"/>
    <w:rsid w:val="007A5C17"/>
    <w:rsid w:val="007B77D6"/>
    <w:rsid w:val="007C0B6E"/>
    <w:rsid w:val="007C6F48"/>
    <w:rsid w:val="007C7B7F"/>
    <w:rsid w:val="007D4836"/>
    <w:rsid w:val="007E2C84"/>
    <w:rsid w:val="007E3545"/>
    <w:rsid w:val="007E7D1A"/>
    <w:rsid w:val="007F0095"/>
    <w:rsid w:val="007F3A76"/>
    <w:rsid w:val="00814288"/>
    <w:rsid w:val="00823D5B"/>
    <w:rsid w:val="008338F7"/>
    <w:rsid w:val="00834347"/>
    <w:rsid w:val="00836397"/>
    <w:rsid w:val="00840290"/>
    <w:rsid w:val="00845054"/>
    <w:rsid w:val="00852D1C"/>
    <w:rsid w:val="00856147"/>
    <w:rsid w:val="00860F40"/>
    <w:rsid w:val="008615C9"/>
    <w:rsid w:val="00864020"/>
    <w:rsid w:val="0087383F"/>
    <w:rsid w:val="008947D6"/>
    <w:rsid w:val="008979D5"/>
    <w:rsid w:val="008A4C3B"/>
    <w:rsid w:val="008B2AD7"/>
    <w:rsid w:val="008B3F7F"/>
    <w:rsid w:val="008B74AF"/>
    <w:rsid w:val="008D6B7E"/>
    <w:rsid w:val="008D7845"/>
    <w:rsid w:val="008F6563"/>
    <w:rsid w:val="009009AC"/>
    <w:rsid w:val="009128C7"/>
    <w:rsid w:val="00923B23"/>
    <w:rsid w:val="00937ED0"/>
    <w:rsid w:val="00952797"/>
    <w:rsid w:val="0095426D"/>
    <w:rsid w:val="009678F3"/>
    <w:rsid w:val="009777D3"/>
    <w:rsid w:val="009859E6"/>
    <w:rsid w:val="00987775"/>
    <w:rsid w:val="009973BC"/>
    <w:rsid w:val="009A0A5D"/>
    <w:rsid w:val="009B0AFA"/>
    <w:rsid w:val="009C6933"/>
    <w:rsid w:val="009D38F4"/>
    <w:rsid w:val="009D4AD1"/>
    <w:rsid w:val="00A0233C"/>
    <w:rsid w:val="00A04C7A"/>
    <w:rsid w:val="00A058E5"/>
    <w:rsid w:val="00A10C1A"/>
    <w:rsid w:val="00A2072E"/>
    <w:rsid w:val="00A21B4B"/>
    <w:rsid w:val="00A237BB"/>
    <w:rsid w:val="00A25FE8"/>
    <w:rsid w:val="00A509AB"/>
    <w:rsid w:val="00A523AB"/>
    <w:rsid w:val="00A676CA"/>
    <w:rsid w:val="00A82078"/>
    <w:rsid w:val="00A838C8"/>
    <w:rsid w:val="00A860C5"/>
    <w:rsid w:val="00A91C42"/>
    <w:rsid w:val="00A9516B"/>
    <w:rsid w:val="00A9780A"/>
    <w:rsid w:val="00AA00AF"/>
    <w:rsid w:val="00AA2FC9"/>
    <w:rsid w:val="00AB283D"/>
    <w:rsid w:val="00AD312E"/>
    <w:rsid w:val="00AE3EAF"/>
    <w:rsid w:val="00B024B0"/>
    <w:rsid w:val="00B34EDA"/>
    <w:rsid w:val="00B469BB"/>
    <w:rsid w:val="00B51748"/>
    <w:rsid w:val="00B56169"/>
    <w:rsid w:val="00B57198"/>
    <w:rsid w:val="00B63D2D"/>
    <w:rsid w:val="00B85023"/>
    <w:rsid w:val="00BA2456"/>
    <w:rsid w:val="00BA469B"/>
    <w:rsid w:val="00BB4A5B"/>
    <w:rsid w:val="00BB6E51"/>
    <w:rsid w:val="00BC6EE3"/>
    <w:rsid w:val="00BD25A4"/>
    <w:rsid w:val="00BE617E"/>
    <w:rsid w:val="00BF2534"/>
    <w:rsid w:val="00BF666B"/>
    <w:rsid w:val="00BF79DC"/>
    <w:rsid w:val="00C05B5A"/>
    <w:rsid w:val="00C2008A"/>
    <w:rsid w:val="00C21C53"/>
    <w:rsid w:val="00C250F4"/>
    <w:rsid w:val="00C35DE1"/>
    <w:rsid w:val="00C3795C"/>
    <w:rsid w:val="00C504C9"/>
    <w:rsid w:val="00C524AA"/>
    <w:rsid w:val="00C54689"/>
    <w:rsid w:val="00C5642B"/>
    <w:rsid w:val="00C72243"/>
    <w:rsid w:val="00C76025"/>
    <w:rsid w:val="00C80430"/>
    <w:rsid w:val="00C81B3A"/>
    <w:rsid w:val="00C87C35"/>
    <w:rsid w:val="00CA4EE0"/>
    <w:rsid w:val="00CB6312"/>
    <w:rsid w:val="00CB6C08"/>
    <w:rsid w:val="00CD0DCA"/>
    <w:rsid w:val="00CF1345"/>
    <w:rsid w:val="00D12F61"/>
    <w:rsid w:val="00D201C6"/>
    <w:rsid w:val="00D21CA3"/>
    <w:rsid w:val="00D23CC2"/>
    <w:rsid w:val="00D52630"/>
    <w:rsid w:val="00D61BF2"/>
    <w:rsid w:val="00D638E0"/>
    <w:rsid w:val="00D716BA"/>
    <w:rsid w:val="00D8404D"/>
    <w:rsid w:val="00D97C19"/>
    <w:rsid w:val="00DC2952"/>
    <w:rsid w:val="00DC6128"/>
    <w:rsid w:val="00DD4B2F"/>
    <w:rsid w:val="00DF1AB7"/>
    <w:rsid w:val="00E07C02"/>
    <w:rsid w:val="00E12B06"/>
    <w:rsid w:val="00E15BF6"/>
    <w:rsid w:val="00E32E42"/>
    <w:rsid w:val="00E71CB9"/>
    <w:rsid w:val="00E73698"/>
    <w:rsid w:val="00E77E23"/>
    <w:rsid w:val="00E8251C"/>
    <w:rsid w:val="00E842D6"/>
    <w:rsid w:val="00E844A0"/>
    <w:rsid w:val="00EB4F67"/>
    <w:rsid w:val="00EB565B"/>
    <w:rsid w:val="00EB7298"/>
    <w:rsid w:val="00EF3024"/>
    <w:rsid w:val="00F13ED2"/>
    <w:rsid w:val="00F27ACB"/>
    <w:rsid w:val="00F355E8"/>
    <w:rsid w:val="00F3616F"/>
    <w:rsid w:val="00F6618F"/>
    <w:rsid w:val="00F67275"/>
    <w:rsid w:val="00F70DD5"/>
    <w:rsid w:val="00F73165"/>
    <w:rsid w:val="00F73F34"/>
    <w:rsid w:val="00F832F6"/>
    <w:rsid w:val="00F90BCE"/>
    <w:rsid w:val="00F9385A"/>
    <w:rsid w:val="00F960D5"/>
    <w:rsid w:val="00FA230B"/>
    <w:rsid w:val="00FA48AD"/>
    <w:rsid w:val="00FC1C99"/>
    <w:rsid w:val="00FC2881"/>
    <w:rsid w:val="00FD27A9"/>
    <w:rsid w:val="00FD7DC1"/>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DB51C240-21E2-4605-9BAC-0F30EF66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345">
      <w:bodyDiv w:val="1"/>
      <w:marLeft w:val="0"/>
      <w:marRight w:val="0"/>
      <w:marTop w:val="0"/>
      <w:marBottom w:val="0"/>
      <w:divBdr>
        <w:top w:val="none" w:sz="0" w:space="0" w:color="auto"/>
        <w:left w:val="none" w:sz="0" w:space="0" w:color="auto"/>
        <w:bottom w:val="none" w:sz="0" w:space="0" w:color="auto"/>
        <w:right w:val="none" w:sz="0" w:space="0" w:color="auto"/>
      </w:divBdr>
    </w:div>
    <w:div w:id="30339529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3307988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250768992">
      <w:bodyDiv w:val="1"/>
      <w:marLeft w:val="0"/>
      <w:marRight w:val="0"/>
      <w:marTop w:val="0"/>
      <w:marBottom w:val="0"/>
      <w:divBdr>
        <w:top w:val="none" w:sz="0" w:space="0" w:color="auto"/>
        <w:left w:val="none" w:sz="0" w:space="0" w:color="auto"/>
        <w:bottom w:val="none" w:sz="0" w:space="0" w:color="auto"/>
        <w:right w:val="none" w:sz="0" w:space="0" w:color="auto"/>
      </w:divBdr>
    </w:div>
    <w:div w:id="1457093576">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8F29-56AA-498A-AC50-949BDF9B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20</Pages>
  <Words>4905</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Health Profession Agreement - 2015-16</vt:lpstr>
    </vt:vector>
  </TitlesOfParts>
  <Company>Johanna Villani Design</Company>
  <LinksUpToDate>false</LinksUpToDate>
  <CharactersWithSpaces>34212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- 2015-16</dc:title>
  <dc:subject>Health Profession Agreement</dc:subject>
  <dc:creator>Occupational Therapy Board and AHPRA</dc:creator>
  <cp:lastModifiedBy>Gareth Meade</cp:lastModifiedBy>
  <cp:revision>3</cp:revision>
  <cp:lastPrinted>2015-11-24T23:44:00Z</cp:lastPrinted>
  <dcterms:created xsi:type="dcterms:W3CDTF">2015-11-24T23:44:00Z</dcterms:created>
  <dcterms:modified xsi:type="dcterms:W3CDTF">2015-11-24T23:44:00Z</dcterms:modified>
</cp:coreProperties>
</file>